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130" w:rsidRDefault="004C5130">
      <w:pPr>
        <w:rPr>
          <w:sz w:val="8"/>
          <w:szCs w:val="8"/>
        </w:rPr>
      </w:pPr>
    </w:p>
    <w:p w:rsidR="004C5130" w:rsidRDefault="004C5130">
      <w:pPr>
        <w:rPr>
          <w:sz w:val="8"/>
          <w:szCs w:val="8"/>
        </w:rPr>
      </w:pPr>
    </w:p>
    <w:p w:rsidR="004C5130" w:rsidRDefault="00F37C01">
      <w:pPr>
        <w:rPr>
          <w:sz w:val="8"/>
          <w:szCs w:val="8"/>
        </w:rPr>
      </w:pPr>
      <w:r>
        <w:rPr>
          <w:rFonts w:ascii="Arial" w:hAnsi="Arial" w:cs="Arial"/>
          <w:noProof/>
          <w:lang w:eastAsia="en-GB"/>
        </w:rPr>
        <mc:AlternateContent>
          <mc:Choice Requires="wps">
            <w:drawing>
              <wp:anchor distT="0" distB="0" distL="114300" distR="114300" simplePos="0" relativeHeight="251657728" behindDoc="0" locked="0" layoutInCell="1" allowOverlap="1">
                <wp:simplePos x="0" y="0"/>
                <wp:positionH relativeFrom="column">
                  <wp:posOffset>5862955</wp:posOffset>
                </wp:positionH>
                <wp:positionV relativeFrom="paragraph">
                  <wp:posOffset>2018665</wp:posOffset>
                </wp:positionV>
                <wp:extent cx="152400" cy="0"/>
                <wp:effectExtent l="0" t="0" r="0" b="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7D751"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65pt,158.95pt" to="473.65pt,1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TIs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"/>
            </w:pict>
          </mc:Fallback>
        </mc:AlternateContent>
      </w:r>
    </w:p>
    <w:tbl>
      <w:tblPr>
        <w:tblW w:w="9696" w:type="dxa"/>
        <w:tblInd w:w="-459" w:type="dxa"/>
        <w:tblLayout w:type="fixed"/>
        <w:tblLook w:val="01E0" w:firstRow="1" w:lastRow="1" w:firstColumn="1" w:lastColumn="1" w:noHBand="0" w:noVBand="0"/>
      </w:tblPr>
      <w:tblGrid>
        <w:gridCol w:w="1417"/>
        <w:gridCol w:w="2785"/>
        <w:gridCol w:w="1387"/>
        <w:gridCol w:w="275"/>
        <w:gridCol w:w="1933"/>
        <w:gridCol w:w="283"/>
        <w:gridCol w:w="1616"/>
      </w:tblGrid>
      <w:tr w:rsidR="001B1771" w:rsidRPr="007D090B" w:rsidTr="001B1771">
        <w:tc>
          <w:tcPr>
            <w:tcW w:w="4202" w:type="dxa"/>
            <w:gridSpan w:val="2"/>
            <w:vMerge w:val="restart"/>
            <w:shd w:val="clear" w:color="auto" w:fill="auto"/>
          </w:tcPr>
          <w:p w:rsidR="001B1771" w:rsidRPr="007D090B" w:rsidRDefault="001B1771" w:rsidP="00523534">
            <w:pPr>
              <w:rPr>
                <w:rFonts w:ascii="Arial" w:hAnsi="Arial" w:cs="Arial"/>
                <w:sz w:val="20"/>
              </w:rPr>
            </w:pPr>
          </w:p>
        </w:tc>
        <w:tc>
          <w:tcPr>
            <w:tcW w:w="1387" w:type="dxa"/>
            <w:shd w:val="clear" w:color="auto" w:fill="auto"/>
          </w:tcPr>
          <w:p w:rsidR="001B1771" w:rsidRPr="007D090B" w:rsidRDefault="001B1771" w:rsidP="007D090B">
            <w:pPr>
              <w:jc w:val="right"/>
              <w:rPr>
                <w:rFonts w:ascii="Arial" w:hAnsi="Arial" w:cs="Arial"/>
                <w:b/>
                <w:sz w:val="20"/>
              </w:rPr>
            </w:pPr>
          </w:p>
        </w:tc>
        <w:tc>
          <w:tcPr>
            <w:tcW w:w="2208" w:type="dxa"/>
            <w:gridSpan w:val="2"/>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Telephone</w:t>
            </w:r>
          </w:p>
        </w:tc>
        <w:tc>
          <w:tcPr>
            <w:tcW w:w="283" w:type="dxa"/>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Direct Dial</w:t>
            </w:r>
          </w:p>
        </w:tc>
      </w:tr>
      <w:tr w:rsidR="001B1771" w:rsidRPr="007D090B" w:rsidTr="001B1771">
        <w:tc>
          <w:tcPr>
            <w:tcW w:w="4202" w:type="dxa"/>
            <w:gridSpan w:val="2"/>
            <w:vMerge/>
            <w:shd w:val="clear" w:color="auto" w:fill="auto"/>
          </w:tcPr>
          <w:p w:rsidR="001B1771" w:rsidRPr="007D090B" w:rsidRDefault="001B1771" w:rsidP="00523534">
            <w:pPr>
              <w:rPr>
                <w:rFonts w:ascii="Arial" w:hAnsi="Arial" w:cs="Arial"/>
                <w:sz w:val="20"/>
              </w:rPr>
            </w:pPr>
          </w:p>
        </w:tc>
        <w:tc>
          <w:tcPr>
            <w:tcW w:w="3595" w:type="dxa"/>
            <w:gridSpan w:val="3"/>
            <w:shd w:val="clear" w:color="auto" w:fill="auto"/>
          </w:tcPr>
          <w:p w:rsidR="001B1771" w:rsidRPr="007D090B" w:rsidRDefault="004B7453" w:rsidP="007D090B">
            <w:pPr>
              <w:jc w:val="right"/>
              <w:rPr>
                <w:rFonts w:ascii="Arial" w:hAnsi="Arial" w:cs="Arial"/>
                <w:sz w:val="20"/>
              </w:rPr>
            </w:pPr>
            <w:bookmarkStart w:id="0" w:name="Telno"/>
            <w:bookmarkEnd w:id="0"/>
            <w:r>
              <w:rPr>
                <w:rFonts w:ascii="Arial" w:hAnsi="Arial" w:cs="Arial"/>
                <w:sz w:val="20"/>
              </w:rPr>
              <w:t>101</w:t>
            </w:r>
          </w:p>
        </w:tc>
        <w:tc>
          <w:tcPr>
            <w:tcW w:w="1899" w:type="dxa"/>
            <w:gridSpan w:val="2"/>
            <w:shd w:val="clear" w:color="auto" w:fill="auto"/>
          </w:tcPr>
          <w:p w:rsidR="001B1771" w:rsidRPr="007D090B" w:rsidRDefault="004B7453" w:rsidP="007D090B">
            <w:pPr>
              <w:jc w:val="right"/>
              <w:rPr>
                <w:rFonts w:ascii="Arial" w:hAnsi="Arial" w:cs="Arial"/>
                <w:sz w:val="20"/>
              </w:rPr>
            </w:pPr>
            <w:bookmarkStart w:id="1" w:name="DDIno"/>
            <w:bookmarkEnd w:id="1"/>
            <w:r>
              <w:rPr>
                <w:rFonts w:ascii="Arial" w:hAnsi="Arial" w:cs="Arial"/>
                <w:sz w:val="20"/>
              </w:rPr>
              <w:t>023 8047 8566</w:t>
            </w:r>
          </w:p>
        </w:tc>
      </w:tr>
      <w:tr w:rsidR="001B1771" w:rsidRPr="007D090B" w:rsidTr="001B1771">
        <w:trPr>
          <w:trHeight w:hRule="exact" w:val="142"/>
        </w:trPr>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1387" w:type="dxa"/>
            <w:shd w:val="clear" w:color="auto" w:fill="auto"/>
          </w:tcPr>
          <w:p w:rsidR="001B1771" w:rsidRPr="007D090B" w:rsidRDefault="001B1771" w:rsidP="007D090B">
            <w:pPr>
              <w:jc w:val="right"/>
              <w:rPr>
                <w:rFonts w:ascii="Arial" w:hAnsi="Arial" w:cs="Arial"/>
                <w:b/>
                <w:sz w:val="20"/>
              </w:rPr>
            </w:pPr>
          </w:p>
        </w:tc>
        <w:tc>
          <w:tcPr>
            <w:tcW w:w="2208" w:type="dxa"/>
            <w:gridSpan w:val="2"/>
            <w:shd w:val="clear" w:color="auto" w:fill="auto"/>
          </w:tcPr>
          <w:p w:rsidR="001B1771" w:rsidRPr="007D090B" w:rsidRDefault="001B1771" w:rsidP="007D090B">
            <w:pPr>
              <w:jc w:val="right"/>
              <w:rPr>
                <w:rFonts w:ascii="Arial" w:hAnsi="Arial" w:cs="Arial"/>
                <w:b/>
                <w:sz w:val="20"/>
              </w:rPr>
            </w:pPr>
          </w:p>
        </w:tc>
        <w:tc>
          <w:tcPr>
            <w:tcW w:w="283" w:type="dxa"/>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p>
        </w:tc>
      </w:tr>
      <w:tr w:rsidR="001B1771" w:rsidRPr="007D090B" w:rsidTr="001B1771">
        <w:tc>
          <w:tcPr>
            <w:tcW w:w="4202" w:type="dxa"/>
            <w:gridSpan w:val="2"/>
            <w:vMerge w:val="restart"/>
            <w:shd w:val="clear" w:color="auto" w:fill="auto"/>
          </w:tcPr>
          <w:p w:rsidR="00757B2F" w:rsidRDefault="00DC79A6" w:rsidP="001B1771">
            <w:pPr>
              <w:rPr>
                <w:rFonts w:ascii="Arial" w:hAnsi="Arial" w:cs="Arial"/>
                <w:sz w:val="20"/>
              </w:rPr>
            </w:pPr>
            <w:bookmarkStart w:id="2" w:name="UserName"/>
            <w:bookmarkEnd w:id="2"/>
            <w:r>
              <w:rPr>
                <w:rFonts w:ascii="Arial" w:hAnsi="Arial" w:cs="Arial"/>
                <w:sz w:val="20"/>
              </w:rPr>
              <w:t>Ms E. Harrison</w:t>
            </w:r>
          </w:p>
          <w:p w:rsidR="00DC79A6" w:rsidRDefault="00DC79A6" w:rsidP="001B1771">
            <w:pPr>
              <w:rPr>
                <w:rFonts w:ascii="Arial" w:hAnsi="Arial" w:cs="Arial"/>
                <w:sz w:val="20"/>
              </w:rPr>
            </w:pPr>
            <w:r>
              <w:rPr>
                <w:rFonts w:ascii="Arial" w:hAnsi="Arial" w:cs="Arial"/>
                <w:sz w:val="20"/>
              </w:rPr>
              <w:t>Planning Services</w:t>
            </w:r>
          </w:p>
          <w:p w:rsidR="00DC79A6" w:rsidRDefault="00DC79A6" w:rsidP="005479C0">
            <w:pPr>
              <w:rPr>
                <w:rFonts w:ascii="Arial" w:hAnsi="Arial" w:cs="Arial"/>
                <w:sz w:val="20"/>
              </w:rPr>
            </w:pPr>
            <w:r>
              <w:rPr>
                <w:rFonts w:ascii="Arial" w:hAnsi="Arial" w:cs="Arial"/>
                <w:sz w:val="20"/>
              </w:rPr>
              <w:t xml:space="preserve">Eastleigh </w:t>
            </w:r>
            <w:r w:rsidR="005479C0">
              <w:rPr>
                <w:rFonts w:ascii="Arial" w:hAnsi="Arial" w:cs="Arial"/>
                <w:sz w:val="20"/>
              </w:rPr>
              <w:t>Borough</w:t>
            </w:r>
            <w:r>
              <w:rPr>
                <w:rFonts w:ascii="Arial" w:hAnsi="Arial" w:cs="Arial"/>
                <w:sz w:val="20"/>
              </w:rPr>
              <w:t xml:space="preserve"> Council</w:t>
            </w:r>
          </w:p>
          <w:p w:rsidR="005479C0" w:rsidRDefault="005479C0" w:rsidP="005479C0">
            <w:pPr>
              <w:rPr>
                <w:rFonts w:ascii="Arial" w:hAnsi="Arial" w:cs="Arial"/>
                <w:sz w:val="20"/>
              </w:rPr>
            </w:pPr>
            <w:r>
              <w:rPr>
                <w:rFonts w:ascii="Arial" w:hAnsi="Arial" w:cs="Arial"/>
                <w:sz w:val="20"/>
              </w:rPr>
              <w:t>Eastleigh House</w:t>
            </w:r>
          </w:p>
          <w:p w:rsidR="005479C0" w:rsidRDefault="005479C0" w:rsidP="005479C0">
            <w:pPr>
              <w:rPr>
                <w:rFonts w:ascii="Arial" w:hAnsi="Arial" w:cs="Arial"/>
                <w:sz w:val="20"/>
              </w:rPr>
            </w:pPr>
            <w:r>
              <w:rPr>
                <w:rFonts w:ascii="Arial" w:hAnsi="Arial" w:cs="Arial"/>
                <w:sz w:val="20"/>
              </w:rPr>
              <w:t>Upper Market Street</w:t>
            </w:r>
          </w:p>
          <w:p w:rsidR="005479C0" w:rsidRDefault="005479C0" w:rsidP="005479C0">
            <w:pPr>
              <w:rPr>
                <w:rFonts w:ascii="Arial" w:hAnsi="Arial" w:cs="Arial"/>
                <w:sz w:val="20"/>
              </w:rPr>
            </w:pPr>
            <w:r>
              <w:rPr>
                <w:rFonts w:ascii="Arial" w:hAnsi="Arial" w:cs="Arial"/>
                <w:sz w:val="20"/>
              </w:rPr>
              <w:t>Eastleigh</w:t>
            </w:r>
          </w:p>
          <w:p w:rsidR="005479C0" w:rsidRDefault="005479C0" w:rsidP="005479C0">
            <w:pPr>
              <w:rPr>
                <w:rFonts w:ascii="Arial" w:hAnsi="Arial" w:cs="Arial"/>
                <w:sz w:val="20"/>
              </w:rPr>
            </w:pPr>
            <w:r>
              <w:rPr>
                <w:rFonts w:ascii="Arial" w:hAnsi="Arial" w:cs="Arial"/>
                <w:sz w:val="20"/>
              </w:rPr>
              <w:t>Hampshire</w:t>
            </w:r>
          </w:p>
          <w:p w:rsidR="005479C0" w:rsidRPr="007D090B" w:rsidRDefault="005479C0" w:rsidP="005479C0">
            <w:pPr>
              <w:rPr>
                <w:rFonts w:ascii="Arial" w:hAnsi="Arial" w:cs="Arial"/>
                <w:sz w:val="20"/>
              </w:rPr>
            </w:pPr>
            <w:r>
              <w:rPr>
                <w:rFonts w:ascii="Arial" w:hAnsi="Arial" w:cs="Arial"/>
                <w:sz w:val="20"/>
              </w:rPr>
              <w:t>SO50 9YN</w:t>
            </w:r>
          </w:p>
        </w:tc>
        <w:tc>
          <w:tcPr>
            <w:tcW w:w="1387" w:type="dxa"/>
            <w:shd w:val="clear" w:color="auto" w:fill="auto"/>
          </w:tcPr>
          <w:p w:rsidR="001B1771" w:rsidRPr="007D090B" w:rsidRDefault="001B1771" w:rsidP="007D090B">
            <w:pPr>
              <w:jc w:val="right"/>
              <w:rPr>
                <w:rFonts w:ascii="Arial" w:hAnsi="Arial" w:cs="Arial"/>
                <w:b/>
                <w:sz w:val="20"/>
              </w:rPr>
            </w:pPr>
          </w:p>
        </w:tc>
        <w:tc>
          <w:tcPr>
            <w:tcW w:w="2208" w:type="dxa"/>
            <w:gridSpan w:val="2"/>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Fax</w:t>
            </w:r>
          </w:p>
        </w:tc>
        <w:tc>
          <w:tcPr>
            <w:tcW w:w="283" w:type="dxa"/>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Text Relay</w:t>
            </w:r>
          </w:p>
        </w:tc>
      </w:tr>
      <w:tr w:rsidR="001B1771" w:rsidRPr="007D090B" w:rsidTr="001B1771">
        <w:tc>
          <w:tcPr>
            <w:tcW w:w="4202" w:type="dxa"/>
            <w:gridSpan w:val="2"/>
            <w:vMerge/>
            <w:shd w:val="clear" w:color="auto" w:fill="auto"/>
          </w:tcPr>
          <w:p w:rsidR="001B1771" w:rsidRPr="007D090B" w:rsidRDefault="001B1771" w:rsidP="001B1771">
            <w:pPr>
              <w:rPr>
                <w:rFonts w:ascii="Arial" w:hAnsi="Arial" w:cs="Arial"/>
                <w:sz w:val="20"/>
              </w:rPr>
            </w:pPr>
          </w:p>
        </w:tc>
        <w:tc>
          <w:tcPr>
            <w:tcW w:w="3595" w:type="dxa"/>
            <w:gridSpan w:val="3"/>
            <w:shd w:val="clear" w:color="auto" w:fill="auto"/>
          </w:tcPr>
          <w:p w:rsidR="001B1771" w:rsidRPr="007D090B" w:rsidRDefault="004B7453" w:rsidP="007D090B">
            <w:pPr>
              <w:jc w:val="right"/>
              <w:rPr>
                <w:rFonts w:ascii="Arial" w:hAnsi="Arial" w:cs="Arial"/>
                <w:sz w:val="20"/>
              </w:rPr>
            </w:pPr>
            <w:bookmarkStart w:id="3" w:name="Faxno"/>
            <w:bookmarkEnd w:id="3"/>
            <w:r>
              <w:rPr>
                <w:rFonts w:ascii="Arial" w:hAnsi="Arial" w:cs="Arial"/>
                <w:sz w:val="20"/>
              </w:rPr>
              <w:t>01962 874201</w:t>
            </w:r>
          </w:p>
        </w:tc>
        <w:tc>
          <w:tcPr>
            <w:tcW w:w="1899" w:type="dxa"/>
            <w:gridSpan w:val="2"/>
            <w:shd w:val="clear" w:color="auto" w:fill="auto"/>
          </w:tcPr>
          <w:p w:rsidR="001B1771" w:rsidRPr="007D090B" w:rsidRDefault="001B1771" w:rsidP="007D090B">
            <w:pPr>
              <w:jc w:val="right"/>
              <w:rPr>
                <w:rFonts w:ascii="Arial" w:hAnsi="Arial" w:cs="Arial"/>
                <w:sz w:val="20"/>
              </w:rPr>
            </w:pPr>
            <w:r w:rsidRPr="007D090B">
              <w:rPr>
                <w:rFonts w:ascii="Arial" w:hAnsi="Arial" w:cs="Arial"/>
                <w:sz w:val="20"/>
              </w:rPr>
              <w:t>18001 101</w:t>
            </w:r>
          </w:p>
        </w:tc>
      </w:tr>
      <w:tr w:rsidR="001B1771" w:rsidRPr="007D090B" w:rsidTr="001B1771">
        <w:trPr>
          <w:trHeight w:hRule="exact" w:val="142"/>
        </w:trPr>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3878" w:type="dxa"/>
            <w:gridSpan w:val="4"/>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sz w:val="20"/>
              </w:rPr>
            </w:pPr>
          </w:p>
        </w:tc>
      </w:tr>
      <w:tr w:rsidR="001B1771" w:rsidRPr="007D090B" w:rsidTr="001B1771">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3878" w:type="dxa"/>
            <w:gridSpan w:val="4"/>
            <w:shd w:val="clear" w:color="auto" w:fill="auto"/>
          </w:tcPr>
          <w:p w:rsidR="001B1771" w:rsidRPr="007D090B" w:rsidRDefault="001B1771" w:rsidP="007D090B">
            <w:pPr>
              <w:jc w:val="right"/>
              <w:rPr>
                <w:rFonts w:ascii="Arial" w:hAnsi="Arial" w:cs="Arial"/>
                <w:b/>
                <w:sz w:val="20"/>
              </w:rPr>
            </w:pPr>
          </w:p>
        </w:tc>
        <w:tc>
          <w:tcPr>
            <w:tcW w:w="1616" w:type="dxa"/>
            <w:shd w:val="clear" w:color="auto" w:fill="auto"/>
          </w:tcPr>
          <w:p w:rsidR="001B1771" w:rsidRPr="007D090B" w:rsidRDefault="001B1771" w:rsidP="007D090B">
            <w:pPr>
              <w:jc w:val="right"/>
              <w:rPr>
                <w:rFonts w:ascii="Arial" w:hAnsi="Arial" w:cs="Arial"/>
                <w:b/>
                <w:sz w:val="20"/>
              </w:rPr>
            </w:pPr>
            <w:r w:rsidRPr="007D090B">
              <w:rPr>
                <w:rFonts w:ascii="Arial" w:hAnsi="Arial" w:cs="Arial"/>
                <w:b/>
                <w:sz w:val="20"/>
              </w:rPr>
              <w:t>Email Address</w:t>
            </w:r>
          </w:p>
        </w:tc>
      </w:tr>
      <w:tr w:rsidR="001B1771" w:rsidRPr="007D090B" w:rsidTr="001B1771">
        <w:tc>
          <w:tcPr>
            <w:tcW w:w="4202" w:type="dxa"/>
            <w:gridSpan w:val="2"/>
            <w:vMerge/>
            <w:shd w:val="clear" w:color="auto" w:fill="auto"/>
          </w:tcPr>
          <w:p w:rsidR="001B1771" w:rsidRPr="007D090B" w:rsidRDefault="001B1771" w:rsidP="007D090B">
            <w:pPr>
              <w:jc w:val="right"/>
              <w:rPr>
                <w:rFonts w:ascii="Arial" w:hAnsi="Arial" w:cs="Arial"/>
                <w:sz w:val="20"/>
              </w:rPr>
            </w:pPr>
          </w:p>
        </w:tc>
        <w:tc>
          <w:tcPr>
            <w:tcW w:w="5494" w:type="dxa"/>
            <w:gridSpan w:val="5"/>
            <w:shd w:val="clear" w:color="auto" w:fill="auto"/>
          </w:tcPr>
          <w:p w:rsidR="001B1771" w:rsidRPr="007D090B" w:rsidRDefault="00CA47F0" w:rsidP="007D090B">
            <w:pPr>
              <w:jc w:val="right"/>
              <w:rPr>
                <w:rFonts w:ascii="Arial" w:hAnsi="Arial" w:cs="Arial"/>
                <w:sz w:val="20"/>
              </w:rPr>
            </w:pPr>
            <w:bookmarkStart w:id="4" w:name="Email"/>
            <w:bookmarkEnd w:id="4"/>
            <w:r>
              <w:rPr>
                <w:rFonts w:ascii="Arial" w:hAnsi="Arial" w:cs="Arial"/>
                <w:sz w:val="20"/>
              </w:rPr>
              <w:t>stuart.york.17529@hampshire</w:t>
            </w:r>
            <w:r w:rsidR="004B7453">
              <w:rPr>
                <w:rFonts w:ascii="Arial" w:hAnsi="Arial" w:cs="Arial"/>
                <w:sz w:val="20"/>
              </w:rPr>
              <w:t>.police.uk</w:t>
            </w:r>
          </w:p>
        </w:tc>
      </w:tr>
      <w:tr w:rsidR="00573140" w:rsidRPr="007D090B" w:rsidTr="001B1771">
        <w:trPr>
          <w:trHeight w:hRule="exact" w:val="567"/>
        </w:trPr>
        <w:tc>
          <w:tcPr>
            <w:tcW w:w="9696" w:type="dxa"/>
            <w:gridSpan w:val="7"/>
            <w:shd w:val="clear" w:color="auto" w:fill="auto"/>
          </w:tcPr>
          <w:p w:rsidR="00573140" w:rsidRPr="007D090B" w:rsidRDefault="00573140" w:rsidP="007D090B">
            <w:pPr>
              <w:jc w:val="right"/>
              <w:rPr>
                <w:rFonts w:ascii="Arial" w:hAnsi="Arial" w:cs="Arial"/>
                <w:sz w:val="20"/>
              </w:rPr>
            </w:pPr>
          </w:p>
        </w:tc>
      </w:tr>
      <w:tr w:rsidR="0004266C" w:rsidRPr="007D090B" w:rsidTr="001B1771">
        <w:tc>
          <w:tcPr>
            <w:tcW w:w="1417" w:type="dxa"/>
            <w:shd w:val="clear" w:color="auto" w:fill="auto"/>
          </w:tcPr>
          <w:p w:rsidR="0004266C" w:rsidRPr="007D090B" w:rsidRDefault="0004266C" w:rsidP="00523534">
            <w:pPr>
              <w:rPr>
                <w:rFonts w:ascii="Arial" w:hAnsi="Arial" w:cs="Arial"/>
                <w:b/>
                <w:sz w:val="20"/>
              </w:rPr>
            </w:pPr>
            <w:r w:rsidRPr="007D090B">
              <w:rPr>
                <w:rFonts w:ascii="Arial" w:hAnsi="Arial" w:cs="Arial"/>
                <w:b/>
                <w:sz w:val="20"/>
              </w:rPr>
              <w:t>Our ref:</w:t>
            </w:r>
          </w:p>
        </w:tc>
        <w:tc>
          <w:tcPr>
            <w:tcW w:w="4447" w:type="dxa"/>
            <w:gridSpan w:val="3"/>
            <w:shd w:val="clear" w:color="auto" w:fill="auto"/>
          </w:tcPr>
          <w:p w:rsidR="0004266C" w:rsidRPr="005B7AF6" w:rsidRDefault="0057638E" w:rsidP="00523534">
            <w:pPr>
              <w:rPr>
                <w:rFonts w:ascii="Arial" w:hAnsi="Arial" w:cs="Arial"/>
                <w:sz w:val="20"/>
              </w:rPr>
            </w:pPr>
            <w:bookmarkStart w:id="5" w:name="OurRef"/>
            <w:bookmarkEnd w:id="5"/>
            <w:r w:rsidRPr="005B7AF6">
              <w:rPr>
                <w:rFonts w:ascii="Arial" w:hAnsi="Arial" w:cs="Arial"/>
                <w:sz w:val="20"/>
              </w:rPr>
              <w:t>app/2</w:t>
            </w:r>
            <w:r w:rsidR="00AD3F2E" w:rsidRPr="005B7AF6">
              <w:rPr>
                <w:rFonts w:ascii="Arial" w:hAnsi="Arial" w:cs="Arial"/>
                <w:sz w:val="20"/>
              </w:rPr>
              <w:t>2</w:t>
            </w:r>
          </w:p>
        </w:tc>
        <w:tc>
          <w:tcPr>
            <w:tcW w:w="3832" w:type="dxa"/>
            <w:gridSpan w:val="3"/>
            <w:shd w:val="clear" w:color="auto" w:fill="auto"/>
          </w:tcPr>
          <w:p w:rsidR="0004266C" w:rsidRPr="005B7AF6" w:rsidRDefault="00790B6B" w:rsidP="001B1771">
            <w:pPr>
              <w:jc w:val="right"/>
              <w:rPr>
                <w:rFonts w:ascii="Arial" w:hAnsi="Arial" w:cs="Arial"/>
                <w:sz w:val="20"/>
              </w:rPr>
            </w:pPr>
            <w:bookmarkStart w:id="6" w:name="TodayDate"/>
            <w:bookmarkEnd w:id="6"/>
            <w:r w:rsidRPr="005B7AF6">
              <w:rPr>
                <w:rFonts w:ascii="Arial" w:hAnsi="Arial" w:cs="Arial"/>
                <w:sz w:val="20"/>
              </w:rPr>
              <w:t>23</w:t>
            </w:r>
            <w:r w:rsidRPr="005B7AF6">
              <w:rPr>
                <w:rFonts w:ascii="Arial" w:hAnsi="Arial" w:cs="Arial"/>
                <w:sz w:val="20"/>
                <w:vertAlign w:val="superscript"/>
              </w:rPr>
              <w:t>rd</w:t>
            </w:r>
            <w:r w:rsidRPr="005B7AF6">
              <w:rPr>
                <w:rFonts w:ascii="Arial" w:hAnsi="Arial" w:cs="Arial"/>
                <w:sz w:val="20"/>
              </w:rPr>
              <w:t xml:space="preserve"> September 2022</w:t>
            </w:r>
          </w:p>
        </w:tc>
      </w:tr>
      <w:tr w:rsidR="0004266C" w:rsidRPr="007D090B" w:rsidTr="001B1771">
        <w:tc>
          <w:tcPr>
            <w:tcW w:w="1417" w:type="dxa"/>
            <w:shd w:val="clear" w:color="auto" w:fill="auto"/>
          </w:tcPr>
          <w:p w:rsidR="0004266C" w:rsidRPr="007D090B" w:rsidRDefault="0004266C" w:rsidP="00523534">
            <w:pPr>
              <w:rPr>
                <w:rFonts w:ascii="Arial" w:hAnsi="Arial" w:cs="Arial"/>
                <w:b/>
                <w:sz w:val="20"/>
              </w:rPr>
            </w:pPr>
            <w:r w:rsidRPr="007D090B">
              <w:rPr>
                <w:rFonts w:ascii="Arial" w:hAnsi="Arial" w:cs="Arial"/>
                <w:b/>
                <w:sz w:val="20"/>
              </w:rPr>
              <w:t>Your ref:</w:t>
            </w:r>
            <w:r w:rsidR="006D4975">
              <w:rPr>
                <w:rFonts w:ascii="Arial" w:hAnsi="Arial" w:cs="Arial"/>
                <w:b/>
                <w:sz w:val="20"/>
              </w:rPr>
              <w:t xml:space="preserve"> </w:t>
            </w:r>
          </w:p>
        </w:tc>
        <w:tc>
          <w:tcPr>
            <w:tcW w:w="4447" w:type="dxa"/>
            <w:gridSpan w:val="3"/>
            <w:shd w:val="clear" w:color="auto" w:fill="auto"/>
          </w:tcPr>
          <w:p w:rsidR="0004266C" w:rsidRPr="005B7AF6" w:rsidRDefault="00790B6B" w:rsidP="00523534">
            <w:pPr>
              <w:rPr>
                <w:rFonts w:ascii="Arial" w:hAnsi="Arial" w:cs="Arial"/>
                <w:sz w:val="20"/>
              </w:rPr>
            </w:pPr>
            <w:bookmarkStart w:id="7" w:name="YourRef"/>
            <w:bookmarkEnd w:id="7"/>
            <w:r w:rsidRPr="005B7AF6">
              <w:rPr>
                <w:rFonts w:ascii="Arial" w:hAnsi="Arial" w:cs="Arial"/>
                <w:sz w:val="20"/>
              </w:rPr>
              <w:t>F/22/93194</w:t>
            </w:r>
          </w:p>
        </w:tc>
        <w:tc>
          <w:tcPr>
            <w:tcW w:w="3832" w:type="dxa"/>
            <w:gridSpan w:val="3"/>
            <w:shd w:val="clear" w:color="auto" w:fill="auto"/>
          </w:tcPr>
          <w:p w:rsidR="0004266C" w:rsidRPr="005B7AF6" w:rsidRDefault="0004266C" w:rsidP="00523534">
            <w:pPr>
              <w:rPr>
                <w:rFonts w:ascii="Arial" w:hAnsi="Arial" w:cs="Arial"/>
                <w:sz w:val="20"/>
              </w:rPr>
            </w:pPr>
          </w:p>
        </w:tc>
      </w:tr>
      <w:tr w:rsidR="0004266C" w:rsidRPr="007D090B" w:rsidTr="001B1771">
        <w:tc>
          <w:tcPr>
            <w:tcW w:w="5864" w:type="dxa"/>
            <w:gridSpan w:val="4"/>
            <w:shd w:val="clear" w:color="auto" w:fill="auto"/>
          </w:tcPr>
          <w:p w:rsidR="0004266C" w:rsidRPr="007D090B" w:rsidRDefault="0004266C" w:rsidP="0004266C">
            <w:pPr>
              <w:rPr>
                <w:rFonts w:ascii="Arial" w:hAnsi="Arial" w:cs="Arial"/>
                <w:sz w:val="20"/>
              </w:rPr>
            </w:pPr>
          </w:p>
        </w:tc>
        <w:tc>
          <w:tcPr>
            <w:tcW w:w="3832" w:type="dxa"/>
            <w:gridSpan w:val="3"/>
            <w:shd w:val="clear" w:color="auto" w:fill="auto"/>
          </w:tcPr>
          <w:p w:rsidR="0004266C" w:rsidRPr="007D090B" w:rsidRDefault="0004266C" w:rsidP="007D090B">
            <w:pPr>
              <w:jc w:val="right"/>
              <w:rPr>
                <w:rFonts w:ascii="Arial" w:hAnsi="Arial" w:cs="Arial"/>
                <w:sz w:val="20"/>
              </w:rPr>
            </w:pPr>
          </w:p>
        </w:tc>
      </w:tr>
      <w:tr w:rsidR="00034FEF" w:rsidRPr="007D090B" w:rsidTr="001B1771">
        <w:tc>
          <w:tcPr>
            <w:tcW w:w="5864" w:type="dxa"/>
            <w:gridSpan w:val="4"/>
            <w:shd w:val="clear" w:color="auto" w:fill="auto"/>
          </w:tcPr>
          <w:p w:rsidR="00034FEF" w:rsidRPr="007D090B" w:rsidRDefault="00034FEF" w:rsidP="0004266C">
            <w:pPr>
              <w:rPr>
                <w:rFonts w:ascii="Arial" w:hAnsi="Arial" w:cs="Arial"/>
                <w:szCs w:val="24"/>
              </w:rPr>
            </w:pPr>
          </w:p>
        </w:tc>
        <w:tc>
          <w:tcPr>
            <w:tcW w:w="3832" w:type="dxa"/>
            <w:gridSpan w:val="3"/>
            <w:shd w:val="clear" w:color="auto" w:fill="auto"/>
          </w:tcPr>
          <w:p w:rsidR="00034FEF" w:rsidRPr="007D090B" w:rsidRDefault="00034FEF" w:rsidP="007D090B">
            <w:pPr>
              <w:jc w:val="right"/>
              <w:rPr>
                <w:rFonts w:ascii="Arial" w:hAnsi="Arial" w:cs="Arial"/>
                <w:szCs w:val="24"/>
              </w:rPr>
            </w:pPr>
          </w:p>
        </w:tc>
      </w:tr>
    </w:tbl>
    <w:p w:rsidR="00F77DAE" w:rsidRPr="009D65F7" w:rsidRDefault="00F77DAE" w:rsidP="00A540D6">
      <w:pPr>
        <w:ind w:left="-426" w:right="141"/>
        <w:rPr>
          <w:rFonts w:ascii="Arial" w:hAnsi="Arial" w:cs="Arial"/>
          <w:sz w:val="2"/>
          <w:szCs w:val="2"/>
        </w:rPr>
        <w:sectPr w:rsidR="00F77DAE" w:rsidRPr="009D65F7" w:rsidSect="0004266C">
          <w:headerReference w:type="default" r:id="rId7"/>
          <w:footerReference w:type="default" r:id="rId8"/>
          <w:type w:val="continuous"/>
          <w:pgSz w:w="11907" w:h="16840" w:code="9"/>
          <w:pgMar w:top="1077" w:right="1134" w:bottom="1440" w:left="1985" w:header="567" w:footer="567" w:gutter="0"/>
          <w:cols w:space="720"/>
        </w:sectPr>
      </w:pPr>
    </w:p>
    <w:p w:rsidR="00B16A3A" w:rsidRPr="00B16A3A" w:rsidRDefault="00B16A3A" w:rsidP="00B16A3A">
      <w:pPr>
        <w:ind w:left="-426" w:right="141"/>
        <w:rPr>
          <w:rFonts w:ascii="Arial" w:hAnsi="Arial" w:cs="Arial"/>
        </w:rPr>
      </w:pPr>
      <w:bookmarkStart w:id="9" w:name="StartLetter"/>
      <w:bookmarkEnd w:id="9"/>
      <w:r w:rsidRPr="00B16A3A">
        <w:rPr>
          <w:rFonts w:ascii="Arial" w:hAnsi="Arial" w:cs="Arial"/>
        </w:rPr>
        <w:t>Dear Ms Harrison,</w:t>
      </w:r>
      <w:bookmarkStart w:id="10" w:name="_GoBack"/>
      <w:bookmarkEnd w:id="10"/>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b/>
          <w:u w:val="single"/>
        </w:rPr>
        <w:t>THE AGEAS BOWL, MARSHALL DRIVE, WEST END, SOUTHAMPTON, SO30 3XH</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 xml:space="preserve">Thank you for your </w:t>
      </w:r>
      <w:r w:rsidR="00D34CFB">
        <w:rPr>
          <w:rFonts w:ascii="Arial" w:hAnsi="Arial" w:cs="Arial"/>
        </w:rPr>
        <w:t>email</w:t>
      </w:r>
      <w:r w:rsidRPr="00B16A3A">
        <w:rPr>
          <w:rFonts w:ascii="Arial" w:hAnsi="Arial" w:cs="Arial"/>
        </w:rPr>
        <w:t xml:space="preserve"> of the 13</w:t>
      </w:r>
      <w:r w:rsidRPr="00B16A3A">
        <w:rPr>
          <w:rFonts w:ascii="Arial" w:hAnsi="Arial" w:cs="Arial"/>
          <w:vertAlign w:val="superscript"/>
        </w:rPr>
        <w:t>th</w:t>
      </w:r>
      <w:r w:rsidRPr="00B16A3A">
        <w:rPr>
          <w:rFonts w:ascii="Arial" w:hAnsi="Arial" w:cs="Arial"/>
        </w:rPr>
        <w:t xml:space="preserve"> September 2022 and the opportunity to comment upon the application. Having considered the application I have the following comments to make with reference to the prevention of crime and disorder (Anti-Social Behaviour (ASB)).</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The National Planning Policy Framework makes clear the Government’s continuing commitment to “create safe and accessible environments where crime and disorder, and the fear of crime, do not undermine quality of life or community cohesion and resilience”.</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National Planning Practice Guidance advises, that planning has a role in preventing crime and malicious threats. It reminds Local Authorities of their obligations under Section 17 of the Crime and Disorder Act 1998 (as amended), specifically “to exercise their functions with due regard to their likely effect on crime and disorder, and to do all they reasonably can to prevent crime and disorder.”</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 xml:space="preserve">The guidance advises: “Planning provides an important opportunity to consider the security of the built environment, those that live and work in it and the services it provides.” It continues, “Good design that considers security as an intrinsic part of a masterplan or individual development can help achieve places that are safe as well as attractive, which function well and which do not need subsequent work to achieve </w:t>
      </w:r>
      <w:r w:rsidRPr="00B16A3A">
        <w:rPr>
          <w:rFonts w:ascii="Arial" w:hAnsi="Arial" w:cs="Arial"/>
        </w:rPr>
        <w:lastRenderedPageBreak/>
        <w:t>or improve resilience.” “Good design means a wide range of crimes from theft to terrorism are less likely to happen by making committing those crimes more difficult.”</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Clear definition of the different spaces within the development reduces the opportunities for crime and disorder.</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Character Areas 1 and 2.</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These two areas contain large car parks. Vehicles parked within large car parks without any form of security are very vulnerable to crime, especially if there is easy public access. To reduce the opportunities for crime and disorder a Closed Circuit Television (CCTV) system should be installed with cameras deployed to provide images of the vehicles within the car parks.</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Large car parks are often used for unauthorised gatherings of motor vehicles. During these meetings the motor vehicles are driven inappropriately. In the past meetings have involved several hundred motor vehicles. Such meetings can cause issues with local residents and cause issues on the public highway. To reduce the opportunities for such meetings barriers such as gates should be fitted at the road access into the car parks. The barriers should be of robust construction and fitted with the relevant ironmongery to make the barriers secure in the both the open and closed positions.</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To reduce the opportunities for crime and disorder lighting conforming to the relevant section of BS EN 12464-2 should be provided. The lighting should be designed to work in conjunction with any CCTV cameras.</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A ramp is shown connecting the car park areas to the cricket ground, this will make an ideal feature for skate boarding etc. To reduce the opportunities for other activities gates should be fitted at either end of the ramp to enable the ramp to be secured when not in use.</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Character Area 5</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Access to the elevations of the dwellings from the public realm must be prevented. All dwellings must sit within an area of private space. The private space to the rear of the dwelling must be enclosed by a robust boundary treatment at least 1.8m high. The semi-private space to the front and side front of the dwelling must be enclosed within a robust boundary treatment 1m high. Hampshire Constabulary cannot support this application if the dwellings do not have this basic level of protection.</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 xml:space="preserve">The Mews is overlooked by House Type E+, with this design the </w:t>
      </w:r>
      <w:r w:rsidR="00DE3486">
        <w:rPr>
          <w:rFonts w:ascii="Arial" w:hAnsi="Arial" w:cs="Arial"/>
        </w:rPr>
        <w:t>active</w:t>
      </w:r>
      <w:r w:rsidRPr="00B16A3A">
        <w:rPr>
          <w:rFonts w:ascii="Arial" w:hAnsi="Arial" w:cs="Arial"/>
        </w:rPr>
        <w:t xml:space="preserve"> rooms </w:t>
      </w:r>
      <w:r w:rsidR="00DE3486">
        <w:rPr>
          <w:rFonts w:ascii="Arial" w:hAnsi="Arial" w:cs="Arial"/>
        </w:rPr>
        <w:t xml:space="preserve">(kitchen / lounge) </w:t>
      </w:r>
      <w:r w:rsidRPr="00B16A3A">
        <w:rPr>
          <w:rFonts w:ascii="Arial" w:hAnsi="Arial" w:cs="Arial"/>
        </w:rPr>
        <w:t>that provide natural surveillance of the public realm are located on the first floor. Natural surveillance of the public realm from the overlooking dwellings is one of the design features that reduces the opportunities for crime and disorder. In this situation it is not possible to have natural surveillance of the ground</w:t>
      </w:r>
      <w:r w:rsidR="00E4730E">
        <w:rPr>
          <w:rFonts w:ascii="Arial" w:hAnsi="Arial" w:cs="Arial"/>
        </w:rPr>
        <w:t xml:space="preserve"> level</w:t>
      </w:r>
      <w:r w:rsidRPr="00B16A3A">
        <w:rPr>
          <w:rFonts w:ascii="Arial" w:hAnsi="Arial" w:cs="Arial"/>
        </w:rPr>
        <w:t xml:space="preserve"> from the first floor, therefore</w:t>
      </w:r>
      <w:r w:rsidR="00304CA6">
        <w:rPr>
          <w:rFonts w:ascii="Arial" w:hAnsi="Arial" w:cs="Arial"/>
        </w:rPr>
        <w:t>,</w:t>
      </w:r>
      <w:r w:rsidRPr="00B16A3A">
        <w:rPr>
          <w:rFonts w:ascii="Arial" w:hAnsi="Arial" w:cs="Arial"/>
        </w:rPr>
        <w:t xml:space="preserve"> houses with this layout do not provide for natural surveillance of the public realm</w:t>
      </w:r>
      <w:r w:rsidR="00CB6E3D">
        <w:rPr>
          <w:rFonts w:ascii="Arial" w:hAnsi="Arial" w:cs="Arial"/>
        </w:rPr>
        <w:t xml:space="preserve"> (this is contrary to the Quality Places, Supplementary Planning Document)</w:t>
      </w:r>
      <w:r w:rsidRPr="00B16A3A">
        <w:rPr>
          <w:rFonts w:ascii="Arial" w:hAnsi="Arial" w:cs="Arial"/>
        </w:rPr>
        <w:t>. This increases the opportunities for crime and disorder.</w:t>
      </w:r>
      <w:r w:rsidR="00DE3486">
        <w:rPr>
          <w:rFonts w:ascii="Arial" w:hAnsi="Arial" w:cs="Arial"/>
        </w:rPr>
        <w:t xml:space="preserve"> To improve </w:t>
      </w:r>
      <w:r w:rsidR="00DE3486">
        <w:rPr>
          <w:rFonts w:ascii="Arial" w:hAnsi="Arial" w:cs="Arial"/>
        </w:rPr>
        <w:lastRenderedPageBreak/>
        <w:t xml:space="preserve">natural surveillance of The Mews some of the overlooking houses should have active </w:t>
      </w:r>
      <w:r w:rsidR="00AD7E4B">
        <w:rPr>
          <w:rFonts w:ascii="Arial" w:hAnsi="Arial" w:cs="Arial"/>
        </w:rPr>
        <w:t xml:space="preserve">rooms </w:t>
      </w:r>
      <w:r w:rsidR="00DE3486">
        <w:rPr>
          <w:rFonts w:ascii="Arial" w:hAnsi="Arial" w:cs="Arial"/>
        </w:rPr>
        <w:t>located on the ground floor.</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Access to the elevations of the apartment blocks from the public realm must be prevented. Apartment blocks must sit within an area of semi-private space, this space must be enclosed within a robust boundary treatment at least 1.2m high. Ground floor apartments with doors that can be accessed from the surrounding semi-private space must be protected by a private garden which is the sole preserve of the resident of the apartment with the doors that can be accessed from the space. The private garden must be at least 1.5m wide and enclosed within a robust boundary treatment at least 1.2m high. Windows on the ground floor must be defended by planting. Hampshire Constabulary cannot support this application if the dwellings do not have this basic level of protection.</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The development is very permeable such high levels of permeability will make policing the development difficult should incidents occur. A review of available research in this area concluded that: “Neighbourhood permeability… is one of the community level design features most reliably linked to crime rates, and the connection operate consistently in the same direction across studies: more permeability more crime.”</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 xml:space="preserve">Some of the connectivity runs to the rear of the dwellings, this significantly increases the opportunities for crime and disorder. Much of this connectivity appears to be linked to communal rear garden access footpaths. In our opinion the design of this connectivity is not consistent with Eastleigh Borough Adopted Local Plan, Policy, </w:t>
      </w:r>
      <w:proofErr w:type="gramStart"/>
      <w:r w:rsidRPr="00B16A3A">
        <w:rPr>
          <w:rFonts w:ascii="Arial" w:hAnsi="Arial" w:cs="Arial"/>
        </w:rPr>
        <w:t>DM1</w:t>
      </w:r>
      <w:proofErr w:type="gramEnd"/>
      <w:r w:rsidRPr="00B16A3A">
        <w:rPr>
          <w:rFonts w:ascii="Arial" w:hAnsi="Arial" w:cs="Arial"/>
        </w:rPr>
        <w:t>. Hampshire Constabulary cannot support the application with such connectivity.</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A number of acquisitive crimes such as burglary and theft are often facilitated by easy access to the rear of the dwelling. For a number of dwellings rear garden is via a communal rear access footpath, this increases the opportunities for crime and disorder. To reduce the opportunities for crime and disorder external rear garden access should be in curtilage. If the Local Planning Authority is minded to consent to a scheme with such rear garden access arrangements, to provide some measure of mitigation we would ask that all rear garden access gates are fitted with a key operated lock that operates from both sides of the gate. The lock should be designed for exterior use. Additionally at the public entrance to the rear access footpath a gate should be fitted.</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There are a number of areas of Public Open Space (POS) throughout the development. An area of POS is shown to the rear of a number of dwellings (landscape plan area 5, near tree marked W1f#). There is very little natural surveillance from the nearby dwellings of: the footpath connectivity nor this area of POS itself. Seating is provided within the POS which will encourage people to loiter within the POS. All of these attributes significantly increase the opportunities for crime and disorder. This space appears to be a piece of left over land, such places make poor areas of POS which often suffer with anti-social behaviour. Without a major redesign of this area of the development it is difficult to see what could be done to significantly reduce the opportunities for crime and disorder. Paragraph 92 of the NPPF advises:</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b/>
          <w:bCs/>
        </w:rPr>
        <w:t>92.</w:t>
      </w:r>
      <w:r w:rsidRPr="00B16A3A">
        <w:rPr>
          <w:rFonts w:ascii="Arial" w:hAnsi="Arial" w:cs="Arial"/>
        </w:rPr>
        <w:t> Planning policies and decisions should aim to achieve healthy, inclusive and safe places which:</w:t>
      </w:r>
    </w:p>
    <w:p w:rsidR="00B16A3A" w:rsidRPr="00B16A3A" w:rsidRDefault="00B16A3A" w:rsidP="00B16A3A">
      <w:pPr>
        <w:ind w:left="-426" w:right="141"/>
        <w:rPr>
          <w:rFonts w:ascii="Arial" w:hAnsi="Arial" w:cs="Arial"/>
        </w:rPr>
      </w:pPr>
      <w:r w:rsidRPr="00B16A3A">
        <w:rPr>
          <w:rFonts w:ascii="Arial" w:hAnsi="Arial" w:cs="Arial"/>
        </w:rPr>
        <w:t>(a) promote social interaction, including opportunities for meetings between people who might not otherwise come into contact with each other – for example through mixed-use developments, strong neighbourhood centres, street layouts that allow for easy pedestrian and cycle connections within and between neighbourhoods, and active street frontages;</w:t>
      </w:r>
    </w:p>
    <w:p w:rsidR="00B16A3A" w:rsidRPr="00B16A3A" w:rsidRDefault="00B16A3A" w:rsidP="00B16A3A">
      <w:pPr>
        <w:ind w:left="-426" w:right="141"/>
        <w:rPr>
          <w:rFonts w:ascii="Arial" w:hAnsi="Arial" w:cs="Arial"/>
        </w:rPr>
      </w:pPr>
      <w:r w:rsidRPr="00B16A3A">
        <w:rPr>
          <w:rFonts w:ascii="Arial" w:hAnsi="Arial" w:cs="Arial"/>
        </w:rPr>
        <w:t>(b) are safe and accessible, so that crime and disorder, and the fear of crime, do not undermine the quality of life or community cohesion – for example through the use of attractive, well-designed, clear and legible pedestrian and cycle routes, and high quality public space, which encourage the active and continual use of public areas;</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 xml:space="preserve">In our opinion design of this area of the development does not provide a safe place nor safe pedestrian connection and it does not conform </w:t>
      </w:r>
      <w:proofErr w:type="gramStart"/>
      <w:r w:rsidRPr="00B16A3A">
        <w:rPr>
          <w:rFonts w:ascii="Arial" w:hAnsi="Arial" w:cs="Arial"/>
        </w:rPr>
        <w:t>with</w:t>
      </w:r>
      <w:proofErr w:type="gramEnd"/>
      <w:r w:rsidRPr="00B16A3A">
        <w:rPr>
          <w:rFonts w:ascii="Arial" w:hAnsi="Arial" w:cs="Arial"/>
        </w:rPr>
        <w:t xml:space="preserve"> the adopted Local Plan, Policy, DM1. In this situation Hampshire Constabulary cannot support this area of the planning application and we recommend that this area of POS space is removed from the approved scheme and the pedestrian connectivity removed from the rear of the dwellings.</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A number of potential pedestrian / cycle access points are shown giving access to area about Telegraph Heights and Westgate Mews. The proposed access routes appear to run to the rear of the existing dwellings. Such connectivity is unsafe, in our opinion is contrary to the guidance of the NPPF and Local Plan, Policy DM1.</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These access routes will change the existing roads from cul-de-sacs into leaky cul-de-sacs. Secured by Design advises: “Cul-de-sacs that connect by footpaths to other parts of a development, often referred to as ‘leaky cul-de-sacs’, experience the highest levels of crime when compared to crim</w:t>
      </w:r>
      <w:r w:rsidR="008F18F3">
        <w:rPr>
          <w:rFonts w:ascii="Arial" w:hAnsi="Arial" w:cs="Arial"/>
        </w:rPr>
        <w:t>e</w:t>
      </w:r>
      <w:r w:rsidRPr="00B16A3A">
        <w:rPr>
          <w:rFonts w:ascii="Arial" w:hAnsi="Arial" w:cs="Arial"/>
        </w:rPr>
        <w:t xml:space="preserve"> levels within a true cul-de-sac. Crime in this kind of design can be 110% higher than crime in a true cul-de-sac and therefore should be avoided.”</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The requirement for this pedestrian / cycle connectivity should be reconsidered and if required it should be redesigned so that it is safe for users and does not undermine the safety of the existing neighbourhood.</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To reduce the opportunities for crime, disorder and reduce the fear of crime lighting throughout the development (this must include all roadways, especially shared surface roads) must conform to the relevant sections of BS 5489-1:2020. To secure this we would ask that the following condition is attached to any consent:</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CONDITION: Prior to the commencement of works details of the lighting scheme shall be submitted and approved in writing by the Local Planning Authority. The design of lighting scheme must comply with BS 5489-1:2020 and discharge any liabilities attached to that standard. The development shall only be carried out in accordance with the approved details and maintained thereafter.</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lastRenderedPageBreak/>
        <w:t>REASON: To ensure safe and secure development and contribute to reducing crime and disorder, in accordance with the adopted Local Plan, Policy DM1 and the NPPF (As Amended).</w:t>
      </w:r>
    </w:p>
    <w:p w:rsidR="00B16A3A" w:rsidRPr="00B16A3A" w:rsidRDefault="00B16A3A" w:rsidP="00B16A3A">
      <w:pPr>
        <w:ind w:left="-426" w:right="141"/>
        <w:rPr>
          <w:rFonts w:ascii="Arial" w:hAnsi="Arial" w:cs="Arial"/>
        </w:rPr>
      </w:pPr>
    </w:p>
    <w:p w:rsidR="00B16A3A" w:rsidRPr="00B16A3A" w:rsidRDefault="00B16A3A" w:rsidP="00B16A3A">
      <w:pPr>
        <w:ind w:left="-426" w:right="141"/>
        <w:rPr>
          <w:rFonts w:ascii="Arial" w:hAnsi="Arial" w:cs="Arial"/>
        </w:rPr>
      </w:pPr>
      <w:r w:rsidRPr="00B16A3A">
        <w:rPr>
          <w:rFonts w:ascii="Arial" w:hAnsi="Arial" w:cs="Arial"/>
        </w:rPr>
        <w:t>Finding appropriate solutions to the design issues highlighted within this letter is fundamental to providing a development where crime, disorder and the fear of crime do not undermine the quality of life or community cohesion.</w:t>
      </w:r>
    </w:p>
    <w:p w:rsidR="00B16A3A" w:rsidRPr="00B16A3A" w:rsidRDefault="00B16A3A" w:rsidP="00B16A3A">
      <w:pPr>
        <w:ind w:left="-426" w:right="141"/>
        <w:rPr>
          <w:rFonts w:ascii="Arial" w:hAnsi="Arial" w:cs="Arial"/>
        </w:rPr>
      </w:pPr>
    </w:p>
    <w:p w:rsidR="00B26525" w:rsidRPr="00B26525" w:rsidRDefault="00B26525" w:rsidP="00B26525">
      <w:pPr>
        <w:ind w:left="-426" w:right="141"/>
        <w:rPr>
          <w:rFonts w:ascii="Arial" w:hAnsi="Arial" w:cs="Arial"/>
        </w:rPr>
      </w:pPr>
      <w:r w:rsidRPr="00B26525">
        <w:rPr>
          <w:rFonts w:ascii="Arial" w:hAnsi="Arial" w:cs="Arial"/>
        </w:rPr>
        <w:t>If I can be of any further assistance please do not hesitate to contact me.</w:t>
      </w:r>
    </w:p>
    <w:p w:rsidR="006D4975" w:rsidRDefault="006D4975" w:rsidP="006D4975">
      <w:pPr>
        <w:ind w:left="-426" w:right="141"/>
        <w:rPr>
          <w:rFonts w:ascii="Arial" w:hAnsi="Arial" w:cs="Arial"/>
        </w:rPr>
      </w:pPr>
    </w:p>
    <w:p w:rsidR="006D4975" w:rsidRDefault="006D4975" w:rsidP="006D4975">
      <w:pPr>
        <w:ind w:left="-426" w:right="141"/>
        <w:rPr>
          <w:rFonts w:ascii="Arial" w:hAnsi="Arial" w:cs="Arial"/>
        </w:rPr>
      </w:pPr>
      <w:r>
        <w:rPr>
          <w:rFonts w:ascii="Arial" w:hAnsi="Arial" w:cs="Arial"/>
        </w:rPr>
        <w:t>Yours sincerely,</w:t>
      </w:r>
    </w:p>
    <w:p w:rsidR="006D4975" w:rsidRDefault="006D4975" w:rsidP="006D4975">
      <w:pPr>
        <w:ind w:left="-426" w:right="141"/>
        <w:rPr>
          <w:rFonts w:ascii="Arial" w:hAnsi="Arial" w:cs="Arial"/>
        </w:rPr>
      </w:pPr>
    </w:p>
    <w:p w:rsidR="006D4975" w:rsidRDefault="006D4975" w:rsidP="006D4975">
      <w:pPr>
        <w:ind w:left="-426" w:right="141"/>
        <w:rPr>
          <w:rFonts w:ascii="Arial" w:hAnsi="Arial" w:cs="Arial"/>
        </w:rPr>
      </w:pPr>
    </w:p>
    <w:p w:rsidR="006D4975" w:rsidRDefault="006D4975" w:rsidP="006D4975">
      <w:pPr>
        <w:ind w:left="-426" w:right="141"/>
        <w:rPr>
          <w:rFonts w:ascii="Arial" w:hAnsi="Arial" w:cs="Arial"/>
        </w:rPr>
      </w:pPr>
      <w:r>
        <w:rPr>
          <w:rFonts w:ascii="Arial" w:hAnsi="Arial" w:cs="Arial"/>
        </w:rPr>
        <w:t>S York</w:t>
      </w:r>
    </w:p>
    <w:p w:rsidR="006D4975" w:rsidRDefault="006D4975" w:rsidP="006D4975">
      <w:pPr>
        <w:ind w:left="-426" w:right="141"/>
        <w:rPr>
          <w:rFonts w:ascii="Arial" w:hAnsi="Arial" w:cs="Arial"/>
        </w:rPr>
      </w:pPr>
      <w:r>
        <w:rPr>
          <w:rFonts w:ascii="Arial" w:hAnsi="Arial" w:cs="Arial"/>
        </w:rPr>
        <w:t>Designing Out Crime Officer</w:t>
      </w:r>
    </w:p>
    <w:p w:rsidR="006D4975" w:rsidRPr="006D4975" w:rsidRDefault="006D4975" w:rsidP="006D4975">
      <w:pPr>
        <w:ind w:left="-426" w:right="141"/>
        <w:rPr>
          <w:rFonts w:ascii="Arial" w:hAnsi="Arial" w:cs="Arial"/>
        </w:rPr>
      </w:pPr>
    </w:p>
    <w:p w:rsidR="006D4975" w:rsidRPr="006D4975" w:rsidRDefault="006D4975" w:rsidP="006D4975">
      <w:pPr>
        <w:ind w:left="-426" w:right="141"/>
        <w:rPr>
          <w:rFonts w:ascii="Arial" w:hAnsi="Arial" w:cs="Arial"/>
          <w:b/>
          <w:bCs/>
          <w:i/>
          <w:iCs/>
        </w:rPr>
      </w:pPr>
      <w:r w:rsidRPr="006D4975">
        <w:rPr>
          <w:rFonts w:ascii="Arial" w:hAnsi="Arial" w:cs="Arial"/>
          <w:b/>
          <w:bCs/>
          <w:i/>
          <w:iCs/>
        </w:rPr>
        <w:t>DISCLAIMER</w:t>
      </w:r>
    </w:p>
    <w:p w:rsidR="004B7453" w:rsidRPr="006D4975" w:rsidRDefault="006D4975" w:rsidP="006D4975">
      <w:pPr>
        <w:ind w:left="-426" w:right="141"/>
        <w:rPr>
          <w:rFonts w:ascii="Arial" w:hAnsi="Arial" w:cs="Arial"/>
          <w:b/>
          <w:bCs/>
          <w:i/>
          <w:iCs/>
        </w:rPr>
      </w:pPr>
      <w:r w:rsidRPr="006D4975">
        <w:rPr>
          <w:rFonts w:ascii="Arial" w:hAnsi="Arial" w:cs="Arial"/>
          <w:b/>
          <w:bCs/>
          <w:i/>
          <w:iCs/>
        </w:rPr>
        <w:t xml:space="preserve">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w:t>
      </w:r>
      <w:proofErr w:type="gramStart"/>
      <w:r w:rsidRPr="006D4975">
        <w:rPr>
          <w:rFonts w:ascii="Arial" w:hAnsi="Arial" w:cs="Arial"/>
          <w:b/>
          <w:bCs/>
          <w:i/>
          <w:iCs/>
        </w:rPr>
        <w:t>Neither the Home Office or</w:t>
      </w:r>
      <w:proofErr w:type="gramEnd"/>
      <w:r w:rsidRPr="006D4975">
        <w:rPr>
          <w:rFonts w:ascii="Arial" w:hAnsi="Arial" w:cs="Arial"/>
          <w:b/>
          <w:bCs/>
          <w:i/>
          <w:iCs/>
        </w:rPr>
        <w:t xml:space="preserve"> Hampshire Constabulary take any other legal responsibility for the advice given.</w:t>
      </w:r>
    </w:p>
    <w:sectPr w:rsidR="004B7453" w:rsidRPr="006D4975" w:rsidSect="00776B90">
      <w:headerReference w:type="even" r:id="rId9"/>
      <w:headerReference w:type="default" r:id="rId10"/>
      <w:headerReference w:type="first" r:id="rId11"/>
      <w:type w:val="continuous"/>
      <w:pgSz w:w="11907" w:h="16840"/>
      <w:pgMar w:top="1077" w:right="1134" w:bottom="1440" w:left="1985" w:header="720" w:footer="5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453" w:rsidRDefault="004B7453">
      <w:r>
        <w:separator/>
      </w:r>
    </w:p>
  </w:endnote>
  <w:endnote w:type="continuationSeparator" w:id="0">
    <w:p w:rsidR="004B7453" w:rsidRDefault="004B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453" w:rsidRDefault="00F37C01" w:rsidP="00F37C01">
    <w:pPr>
      <w:pStyle w:val="Footer"/>
      <w:ind w:left="-567"/>
      <w:jc w:val="center"/>
    </w:pPr>
    <w:r>
      <w:rPr>
        <w:noProof/>
        <w:lang w:eastAsia="en-GB"/>
      </w:rPr>
      <w:drawing>
        <wp:inline distT="0" distB="0" distL="0" distR="0">
          <wp:extent cx="5669915" cy="74295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9915" cy="742950"/>
                  </a:xfrm>
                  <a:prstGeom prst="rect">
                    <a:avLst/>
                  </a:prstGeom>
                  <a:noFill/>
                </pic:spPr>
              </pic:pic>
            </a:graphicData>
          </a:graphic>
        </wp:inline>
      </w:drawing>
    </w:r>
  </w:p>
  <w:p w:rsidR="004B7453" w:rsidRDefault="004B7453">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B7AF6">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B7AF6">
      <w:rPr>
        <w:b/>
        <w:bCs/>
        <w:noProof/>
      </w:rPr>
      <w:t>5</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453" w:rsidRDefault="004B7453">
      <w:r>
        <w:separator/>
      </w:r>
    </w:p>
  </w:footnote>
  <w:footnote w:type="continuationSeparator" w:id="0">
    <w:p w:rsidR="004B7453" w:rsidRDefault="004B7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096" w:rsidRDefault="00D51096">
    <w:pPr>
      <w:pStyle w:val="Header"/>
      <w:framePr w:hSpace="181" w:wrap="around" w:vAnchor="text" w:hAnchor="page" w:x="580" w:y="11"/>
      <w:jc w:val="center"/>
      <w:rPr>
        <w:b/>
        <w:sz w:val="40"/>
      </w:rPr>
    </w:pPr>
  </w:p>
  <w:p w:rsidR="006271C7" w:rsidRDefault="00F37C01" w:rsidP="00F46069">
    <w:pPr>
      <w:pStyle w:val="Header"/>
      <w:tabs>
        <w:tab w:val="left" w:pos="3402"/>
      </w:tabs>
      <w:rPr>
        <w:rFonts w:ascii="Arial" w:hAnsi="Arial" w:cs="Arial"/>
        <w:sz w:val="2"/>
        <w:szCs w:val="2"/>
      </w:rPr>
    </w:pPr>
    <w:r>
      <w:rPr>
        <w:noProof/>
        <w:lang w:eastAsia="en-GB"/>
      </w:rPr>
      <w:drawing>
        <wp:anchor distT="0" distB="0" distL="114300" distR="114300" simplePos="0" relativeHeight="251657216" behindDoc="1" locked="0" layoutInCell="1" allowOverlap="1">
          <wp:simplePos x="0" y="0"/>
          <wp:positionH relativeFrom="column">
            <wp:posOffset>-424180</wp:posOffset>
          </wp:positionH>
          <wp:positionV relativeFrom="paragraph">
            <wp:posOffset>-26035</wp:posOffset>
          </wp:positionV>
          <wp:extent cx="2607310" cy="748030"/>
          <wp:effectExtent l="0" t="0" r="2540" b="0"/>
          <wp:wrapThrough wrapText="bothSides">
            <wp:wrapPolygon edited="0">
              <wp:start x="1894" y="0"/>
              <wp:lineTo x="789" y="3851"/>
              <wp:lineTo x="158" y="7151"/>
              <wp:lineTo x="158" y="12102"/>
              <wp:lineTo x="631" y="17603"/>
              <wp:lineTo x="1578" y="18703"/>
              <wp:lineTo x="2052" y="20903"/>
              <wp:lineTo x="3788" y="20903"/>
              <wp:lineTo x="17833" y="18703"/>
              <wp:lineTo x="21463" y="17053"/>
              <wp:lineTo x="21463" y="4401"/>
              <wp:lineTo x="20201" y="3851"/>
              <wp:lineTo x="4261" y="0"/>
              <wp:lineTo x="1894" y="0"/>
            </wp:wrapPolygon>
          </wp:wrapThrough>
          <wp:docPr id="40" name="Picture 40" descr="HC-header-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C-header-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7310" cy="7480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40" w:type="dxa"/>
      <w:tblInd w:w="-612" w:type="dxa"/>
      <w:tblLook w:val="01E0" w:firstRow="1" w:lastRow="1" w:firstColumn="1" w:lastColumn="1" w:noHBand="0" w:noVBand="0"/>
    </w:tblPr>
    <w:tblGrid>
      <w:gridCol w:w="5398"/>
      <w:gridCol w:w="4442"/>
    </w:tblGrid>
    <w:tr w:rsidR="00853431" w:rsidTr="00323BB9">
      <w:trPr>
        <w:trHeight w:val="1380"/>
      </w:trPr>
      <w:tc>
        <w:tcPr>
          <w:tcW w:w="5398" w:type="dxa"/>
          <w:shd w:val="clear" w:color="auto" w:fill="auto"/>
        </w:tcPr>
        <w:p w:rsidR="00853431" w:rsidRPr="007D090B" w:rsidRDefault="00853431" w:rsidP="007D090B">
          <w:pPr>
            <w:pStyle w:val="Header"/>
            <w:tabs>
              <w:tab w:val="clear" w:pos="8306"/>
              <w:tab w:val="right" w:pos="7787"/>
            </w:tabs>
            <w:rPr>
              <w:rFonts w:ascii="Arial" w:hAnsi="Arial" w:cs="Arial"/>
              <w:b/>
              <w:sz w:val="48"/>
            </w:rPr>
          </w:pPr>
        </w:p>
      </w:tc>
      <w:tc>
        <w:tcPr>
          <w:tcW w:w="4442" w:type="dxa"/>
          <w:shd w:val="clear" w:color="auto" w:fill="auto"/>
        </w:tcPr>
        <w:p w:rsidR="004B7453" w:rsidRDefault="004B7453" w:rsidP="00853431">
          <w:pPr>
            <w:pStyle w:val="Header"/>
            <w:tabs>
              <w:tab w:val="clear" w:pos="8306"/>
              <w:tab w:val="right" w:pos="7787"/>
            </w:tabs>
            <w:jc w:val="right"/>
            <w:rPr>
              <w:rFonts w:ascii="Arial" w:hAnsi="Arial" w:cs="Arial"/>
              <w:b/>
              <w:sz w:val="20"/>
              <w:szCs w:val="24"/>
            </w:rPr>
          </w:pPr>
          <w:bookmarkStart w:id="8" w:name="StationAddress"/>
          <w:bookmarkEnd w:id="8"/>
          <w:r>
            <w:rPr>
              <w:rFonts w:ascii="Arial" w:hAnsi="Arial" w:cs="Arial"/>
              <w:b/>
              <w:sz w:val="20"/>
              <w:szCs w:val="24"/>
            </w:rPr>
            <w:t>Gosport NPT Neighbourhood Police Office</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Town Hall</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High Street</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Gosport</w:t>
          </w:r>
        </w:p>
        <w:p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Hampshire</w:t>
          </w:r>
        </w:p>
        <w:p w:rsidR="00853431" w:rsidRP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PO12 1EB</w:t>
          </w:r>
        </w:p>
      </w:tc>
    </w:tr>
  </w:tbl>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Default="006271C7" w:rsidP="00F46069">
    <w:pPr>
      <w:pStyle w:val="Header"/>
      <w:tabs>
        <w:tab w:val="left" w:pos="3402"/>
      </w:tabs>
      <w:rPr>
        <w:rFonts w:ascii="Arial" w:hAnsi="Arial" w:cs="Arial"/>
        <w:sz w:val="2"/>
        <w:szCs w:val="2"/>
      </w:rPr>
    </w:pPr>
  </w:p>
  <w:p w:rsidR="006271C7" w:rsidRPr="00CA0537" w:rsidRDefault="006271C7" w:rsidP="00F46069">
    <w:pPr>
      <w:pStyle w:val="Header"/>
      <w:tabs>
        <w:tab w:val="left" w:pos="3402"/>
      </w:tabs>
      <w:rPr>
        <w:rFonts w:ascii="Arial" w:hAnsi="Arial" w:cs="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A6B" w:rsidRDefault="002C0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764" w:rsidRDefault="004C2764">
    <w:pPr>
      <w:pStyle w:val="Header"/>
      <w:framePr w:hSpace="181" w:wrap="around" w:vAnchor="text" w:hAnchor="page" w:x="580" w:y="11"/>
      <w:jc w:val="center"/>
      <w:rPr>
        <w:b/>
        <w:sz w:val="40"/>
      </w:rPr>
    </w:pPr>
  </w:p>
  <w:p w:rsidR="004C2764" w:rsidRDefault="004C2764" w:rsidP="00F46069">
    <w:pPr>
      <w:pStyle w:val="Header"/>
      <w:tabs>
        <w:tab w:val="left" w:pos="3402"/>
      </w:tabs>
      <w:rPr>
        <w:rFonts w:ascii="Arial" w:hAnsi="Arial" w:cs="Arial"/>
        <w:sz w:val="2"/>
        <w:szCs w:val="2"/>
      </w:rPr>
    </w:pPr>
  </w:p>
  <w:p w:rsidR="004C2764" w:rsidRDefault="004C2764" w:rsidP="00F46069">
    <w:pPr>
      <w:pStyle w:val="Header"/>
      <w:tabs>
        <w:tab w:val="left" w:pos="3402"/>
      </w:tabs>
      <w:rPr>
        <w:rFonts w:ascii="Arial" w:hAnsi="Arial" w:cs="Arial"/>
        <w:sz w:val="2"/>
        <w:szCs w:val="2"/>
      </w:rPr>
    </w:pPr>
  </w:p>
  <w:p w:rsidR="004C2764" w:rsidRDefault="004C2764" w:rsidP="00F46069">
    <w:pPr>
      <w:pStyle w:val="Header"/>
      <w:tabs>
        <w:tab w:val="left" w:pos="3402"/>
      </w:tabs>
      <w:rPr>
        <w:rFonts w:ascii="Arial" w:hAnsi="Arial" w:cs="Arial"/>
        <w:sz w:val="2"/>
        <w:szCs w:val="2"/>
      </w:rPr>
    </w:pPr>
  </w:p>
  <w:p w:rsidR="004C2764" w:rsidRDefault="004C2764" w:rsidP="00F46069">
    <w:pPr>
      <w:pStyle w:val="Header"/>
      <w:tabs>
        <w:tab w:val="left" w:pos="3402"/>
      </w:tabs>
      <w:rPr>
        <w:rFonts w:ascii="Arial" w:hAnsi="Arial" w:cs="Arial"/>
        <w:sz w:val="2"/>
        <w:szCs w:val="2"/>
      </w:rPr>
    </w:pPr>
  </w:p>
  <w:p w:rsidR="004C2764" w:rsidRPr="00CA0537" w:rsidRDefault="004C2764" w:rsidP="00F46069">
    <w:pPr>
      <w:pStyle w:val="Header"/>
      <w:tabs>
        <w:tab w:val="left" w:pos="3402"/>
      </w:tabs>
      <w:rPr>
        <w:rFonts w:ascii="Arial" w:hAnsi="Arial" w:cs="Arial"/>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A6B" w:rsidRDefault="002C0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83F66"/>
    <w:multiLevelType w:val="hybridMultilevel"/>
    <w:tmpl w:val="F2DA29BA"/>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7BB3DDE"/>
    <w:multiLevelType w:val="hybridMultilevel"/>
    <w:tmpl w:val="736C6B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49639E"/>
    <w:multiLevelType w:val="hybridMultilevel"/>
    <w:tmpl w:val="6C4872D0"/>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2"/>
  </w:num>
  <w:num w:numId="4">
    <w:abstractNumId w:val="0"/>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ctiveWritingStyle w:appName="MSWord" w:lang="en-GB" w:vendorID="64" w:dllVersion="131077"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453"/>
    <w:rsid w:val="00002E82"/>
    <w:rsid w:val="00006CD0"/>
    <w:rsid w:val="000134EF"/>
    <w:rsid w:val="0001491A"/>
    <w:rsid w:val="00021587"/>
    <w:rsid w:val="00034FEF"/>
    <w:rsid w:val="00040157"/>
    <w:rsid w:val="0004266C"/>
    <w:rsid w:val="000621F4"/>
    <w:rsid w:val="0006382E"/>
    <w:rsid w:val="0008262D"/>
    <w:rsid w:val="00085333"/>
    <w:rsid w:val="000A4F84"/>
    <w:rsid w:val="000B2A6A"/>
    <w:rsid w:val="000B67E9"/>
    <w:rsid w:val="000F595E"/>
    <w:rsid w:val="00102991"/>
    <w:rsid w:val="0010419A"/>
    <w:rsid w:val="001122FB"/>
    <w:rsid w:val="001214F7"/>
    <w:rsid w:val="00135097"/>
    <w:rsid w:val="00137BE7"/>
    <w:rsid w:val="00141330"/>
    <w:rsid w:val="001417F6"/>
    <w:rsid w:val="001428C4"/>
    <w:rsid w:val="00151756"/>
    <w:rsid w:val="0016028F"/>
    <w:rsid w:val="001762EE"/>
    <w:rsid w:val="00191113"/>
    <w:rsid w:val="001A47B9"/>
    <w:rsid w:val="001B1771"/>
    <w:rsid w:val="001B3C99"/>
    <w:rsid w:val="001B4E28"/>
    <w:rsid w:val="001C53B6"/>
    <w:rsid w:val="001E0CC6"/>
    <w:rsid w:val="001E6071"/>
    <w:rsid w:val="001F17F1"/>
    <w:rsid w:val="001F7B42"/>
    <w:rsid w:val="00200402"/>
    <w:rsid w:val="00201923"/>
    <w:rsid w:val="00203C4B"/>
    <w:rsid w:val="00203FD8"/>
    <w:rsid w:val="00204AF7"/>
    <w:rsid w:val="0023081B"/>
    <w:rsid w:val="00234A13"/>
    <w:rsid w:val="00273ED7"/>
    <w:rsid w:val="002803A0"/>
    <w:rsid w:val="00285B8F"/>
    <w:rsid w:val="002905EF"/>
    <w:rsid w:val="002B01E8"/>
    <w:rsid w:val="002C0A6B"/>
    <w:rsid w:val="002C2C67"/>
    <w:rsid w:val="002D0763"/>
    <w:rsid w:val="002D270F"/>
    <w:rsid w:val="002D4985"/>
    <w:rsid w:val="002D58FC"/>
    <w:rsid w:val="002F0DB7"/>
    <w:rsid w:val="00304CA6"/>
    <w:rsid w:val="0031457C"/>
    <w:rsid w:val="00322930"/>
    <w:rsid w:val="00323BB9"/>
    <w:rsid w:val="00330119"/>
    <w:rsid w:val="003309DC"/>
    <w:rsid w:val="00333F57"/>
    <w:rsid w:val="003449DA"/>
    <w:rsid w:val="003535F3"/>
    <w:rsid w:val="003630B2"/>
    <w:rsid w:val="00364356"/>
    <w:rsid w:val="00381C4E"/>
    <w:rsid w:val="003871B1"/>
    <w:rsid w:val="00390BF1"/>
    <w:rsid w:val="003E6B52"/>
    <w:rsid w:val="00441C7F"/>
    <w:rsid w:val="00451E90"/>
    <w:rsid w:val="00452621"/>
    <w:rsid w:val="00461CC7"/>
    <w:rsid w:val="004723E3"/>
    <w:rsid w:val="004733E7"/>
    <w:rsid w:val="00484D10"/>
    <w:rsid w:val="0048533E"/>
    <w:rsid w:val="00497F68"/>
    <w:rsid w:val="004B052A"/>
    <w:rsid w:val="004B44F8"/>
    <w:rsid w:val="004B7453"/>
    <w:rsid w:val="004C2764"/>
    <w:rsid w:val="004C5130"/>
    <w:rsid w:val="004D06AC"/>
    <w:rsid w:val="004D777F"/>
    <w:rsid w:val="004E4CD9"/>
    <w:rsid w:val="004E6840"/>
    <w:rsid w:val="004F7C12"/>
    <w:rsid w:val="00523534"/>
    <w:rsid w:val="005357E0"/>
    <w:rsid w:val="005479C0"/>
    <w:rsid w:val="00571DAD"/>
    <w:rsid w:val="00573140"/>
    <w:rsid w:val="00575FA6"/>
    <w:rsid w:val="0057638E"/>
    <w:rsid w:val="00593B5C"/>
    <w:rsid w:val="005B2946"/>
    <w:rsid w:val="005B5296"/>
    <w:rsid w:val="005B7AF6"/>
    <w:rsid w:val="005C7D47"/>
    <w:rsid w:val="005D2625"/>
    <w:rsid w:val="005E180C"/>
    <w:rsid w:val="005F4E42"/>
    <w:rsid w:val="005F5162"/>
    <w:rsid w:val="00617E2B"/>
    <w:rsid w:val="00620CDA"/>
    <w:rsid w:val="006242D1"/>
    <w:rsid w:val="006271C7"/>
    <w:rsid w:val="00635334"/>
    <w:rsid w:val="0065161B"/>
    <w:rsid w:val="006631C9"/>
    <w:rsid w:val="00663BAE"/>
    <w:rsid w:val="00667C6A"/>
    <w:rsid w:val="006851C2"/>
    <w:rsid w:val="00690E0C"/>
    <w:rsid w:val="006B2185"/>
    <w:rsid w:val="006B6773"/>
    <w:rsid w:val="006C2E1D"/>
    <w:rsid w:val="006C2EF0"/>
    <w:rsid w:val="006D4975"/>
    <w:rsid w:val="006E1D30"/>
    <w:rsid w:val="006E69F0"/>
    <w:rsid w:val="00711864"/>
    <w:rsid w:val="007173C3"/>
    <w:rsid w:val="00731C43"/>
    <w:rsid w:val="007354B3"/>
    <w:rsid w:val="0073565F"/>
    <w:rsid w:val="00736181"/>
    <w:rsid w:val="00741B1B"/>
    <w:rsid w:val="0075695B"/>
    <w:rsid w:val="00757B2F"/>
    <w:rsid w:val="00761678"/>
    <w:rsid w:val="00767D26"/>
    <w:rsid w:val="00776B90"/>
    <w:rsid w:val="00790B6B"/>
    <w:rsid w:val="00790D2E"/>
    <w:rsid w:val="00792521"/>
    <w:rsid w:val="007D090B"/>
    <w:rsid w:val="007D3544"/>
    <w:rsid w:val="007E5FC9"/>
    <w:rsid w:val="007E6CD0"/>
    <w:rsid w:val="007F3D3C"/>
    <w:rsid w:val="007F6FE3"/>
    <w:rsid w:val="00814FD3"/>
    <w:rsid w:val="00832B85"/>
    <w:rsid w:val="00845569"/>
    <w:rsid w:val="00853431"/>
    <w:rsid w:val="00861390"/>
    <w:rsid w:val="00891091"/>
    <w:rsid w:val="0089161E"/>
    <w:rsid w:val="008A137D"/>
    <w:rsid w:val="008A4AD3"/>
    <w:rsid w:val="008B1B12"/>
    <w:rsid w:val="008B7CDF"/>
    <w:rsid w:val="008E28D2"/>
    <w:rsid w:val="008E4219"/>
    <w:rsid w:val="008F18F3"/>
    <w:rsid w:val="00912E03"/>
    <w:rsid w:val="0091599B"/>
    <w:rsid w:val="00926266"/>
    <w:rsid w:val="00931EF7"/>
    <w:rsid w:val="0093474C"/>
    <w:rsid w:val="00934CCB"/>
    <w:rsid w:val="00982892"/>
    <w:rsid w:val="009A49E7"/>
    <w:rsid w:val="009C73A1"/>
    <w:rsid w:val="009D65F7"/>
    <w:rsid w:val="009F4E20"/>
    <w:rsid w:val="00A540D6"/>
    <w:rsid w:val="00A57371"/>
    <w:rsid w:val="00A616A1"/>
    <w:rsid w:val="00A84321"/>
    <w:rsid w:val="00A87DE0"/>
    <w:rsid w:val="00A9101C"/>
    <w:rsid w:val="00A92813"/>
    <w:rsid w:val="00AA0A74"/>
    <w:rsid w:val="00AA630B"/>
    <w:rsid w:val="00AB12A3"/>
    <w:rsid w:val="00AB40F1"/>
    <w:rsid w:val="00AB6D20"/>
    <w:rsid w:val="00AC3D91"/>
    <w:rsid w:val="00AD18E9"/>
    <w:rsid w:val="00AD3F2E"/>
    <w:rsid w:val="00AD7E4B"/>
    <w:rsid w:val="00AE454D"/>
    <w:rsid w:val="00AF2D5D"/>
    <w:rsid w:val="00AF335F"/>
    <w:rsid w:val="00B00F88"/>
    <w:rsid w:val="00B142F1"/>
    <w:rsid w:val="00B16A3A"/>
    <w:rsid w:val="00B26525"/>
    <w:rsid w:val="00B26F09"/>
    <w:rsid w:val="00B26F89"/>
    <w:rsid w:val="00B410DB"/>
    <w:rsid w:val="00B52DD9"/>
    <w:rsid w:val="00B73C8D"/>
    <w:rsid w:val="00B917CD"/>
    <w:rsid w:val="00B9545B"/>
    <w:rsid w:val="00BA2028"/>
    <w:rsid w:val="00BA4BC5"/>
    <w:rsid w:val="00BA6C8E"/>
    <w:rsid w:val="00BD0812"/>
    <w:rsid w:val="00C0255B"/>
    <w:rsid w:val="00C0357F"/>
    <w:rsid w:val="00C33B34"/>
    <w:rsid w:val="00C52B29"/>
    <w:rsid w:val="00C5312D"/>
    <w:rsid w:val="00C5444C"/>
    <w:rsid w:val="00C56FB7"/>
    <w:rsid w:val="00C60E9E"/>
    <w:rsid w:val="00C701D5"/>
    <w:rsid w:val="00C755D5"/>
    <w:rsid w:val="00CA0537"/>
    <w:rsid w:val="00CA0B5C"/>
    <w:rsid w:val="00CA1BDB"/>
    <w:rsid w:val="00CA47F0"/>
    <w:rsid w:val="00CB6E3D"/>
    <w:rsid w:val="00CC491D"/>
    <w:rsid w:val="00CC5400"/>
    <w:rsid w:val="00CE3CC7"/>
    <w:rsid w:val="00CE44DC"/>
    <w:rsid w:val="00CE6A8D"/>
    <w:rsid w:val="00CE7022"/>
    <w:rsid w:val="00CE7872"/>
    <w:rsid w:val="00D041B5"/>
    <w:rsid w:val="00D048F8"/>
    <w:rsid w:val="00D20405"/>
    <w:rsid w:val="00D332E3"/>
    <w:rsid w:val="00D34CFB"/>
    <w:rsid w:val="00D34E7F"/>
    <w:rsid w:val="00D35DEC"/>
    <w:rsid w:val="00D449C1"/>
    <w:rsid w:val="00D51096"/>
    <w:rsid w:val="00D85F31"/>
    <w:rsid w:val="00D9605E"/>
    <w:rsid w:val="00DB5237"/>
    <w:rsid w:val="00DC7038"/>
    <w:rsid w:val="00DC79A6"/>
    <w:rsid w:val="00DD182A"/>
    <w:rsid w:val="00DD277E"/>
    <w:rsid w:val="00DD38A6"/>
    <w:rsid w:val="00DD6F86"/>
    <w:rsid w:val="00DE3486"/>
    <w:rsid w:val="00DE6034"/>
    <w:rsid w:val="00DF4CBE"/>
    <w:rsid w:val="00E07E60"/>
    <w:rsid w:val="00E17D98"/>
    <w:rsid w:val="00E21FFB"/>
    <w:rsid w:val="00E34E28"/>
    <w:rsid w:val="00E46B81"/>
    <w:rsid w:val="00E4730E"/>
    <w:rsid w:val="00E5060A"/>
    <w:rsid w:val="00E71559"/>
    <w:rsid w:val="00E77859"/>
    <w:rsid w:val="00E80448"/>
    <w:rsid w:val="00EA3A6E"/>
    <w:rsid w:val="00EB4E93"/>
    <w:rsid w:val="00EB729E"/>
    <w:rsid w:val="00EC076D"/>
    <w:rsid w:val="00ED168B"/>
    <w:rsid w:val="00ED35E8"/>
    <w:rsid w:val="00EE3800"/>
    <w:rsid w:val="00EE5A0C"/>
    <w:rsid w:val="00F0181E"/>
    <w:rsid w:val="00F218E1"/>
    <w:rsid w:val="00F31E9E"/>
    <w:rsid w:val="00F37C01"/>
    <w:rsid w:val="00F46069"/>
    <w:rsid w:val="00F56314"/>
    <w:rsid w:val="00F60380"/>
    <w:rsid w:val="00F62BD8"/>
    <w:rsid w:val="00F6633B"/>
    <w:rsid w:val="00F7164C"/>
    <w:rsid w:val="00F77DAE"/>
    <w:rsid w:val="00FA4872"/>
    <w:rsid w:val="00FB116D"/>
    <w:rsid w:val="00FB63D2"/>
    <w:rsid w:val="00FD020A"/>
    <w:rsid w:val="00FD0586"/>
    <w:rsid w:val="00FD0FC5"/>
    <w:rsid w:val="00FE2426"/>
    <w:rsid w:val="00FE77D1"/>
    <w:rsid w:val="00FF1DBF"/>
    <w:rsid w:val="00FF4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AC5070D"/>
  <w15:chartTrackingRefBased/>
  <w15:docId w15:val="{D019F2D7-F9E9-41D0-924C-C28D4E5D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Bullets">
    <w:name w:val="Bullets"/>
    <w:basedOn w:val="Normal"/>
    <w:pPr>
      <w:numPr>
        <w:numId w:val="5"/>
      </w:numPr>
      <w:overflowPunct/>
      <w:autoSpaceDE/>
      <w:autoSpaceDN/>
      <w:adjustRightInd/>
      <w:textAlignment w:val="auto"/>
    </w:pPr>
  </w:style>
  <w:style w:type="paragraph" w:customStyle="1" w:styleId="Number">
    <w:name w:val="Number"/>
    <w:basedOn w:val="Normal"/>
    <w:pPr>
      <w:numPr>
        <w:numId w:val="6"/>
      </w:numPr>
      <w:overflowPunct/>
      <w:autoSpaceDE/>
      <w:autoSpaceDN/>
      <w:adjustRightInd/>
      <w:textAlignment w:val="auto"/>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2D58FC"/>
    <w:rPr>
      <w:rFonts w:ascii="Tahoma" w:hAnsi="Tahoma" w:cs="Tahoma"/>
      <w:sz w:val="16"/>
      <w:szCs w:val="16"/>
    </w:rPr>
  </w:style>
  <w:style w:type="table" w:styleId="TableGrid">
    <w:name w:val="Table Grid"/>
    <w:basedOn w:val="TableNormal"/>
    <w:rsid w:val="002D58F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B7453"/>
    <w:rPr>
      <w:sz w:val="24"/>
      <w:lang w:eastAsia="en-US"/>
    </w:rPr>
  </w:style>
  <w:style w:type="paragraph" w:styleId="FootnoteText">
    <w:name w:val="footnote text"/>
    <w:basedOn w:val="Normal"/>
    <w:link w:val="FootnoteTextChar"/>
    <w:uiPriority w:val="99"/>
    <w:unhideWhenUsed/>
    <w:rsid w:val="006B2185"/>
    <w:pPr>
      <w:overflowPunct/>
      <w:autoSpaceDE/>
      <w:autoSpaceDN/>
      <w:adjustRightInd/>
      <w:textAlignment w:val="auto"/>
    </w:pPr>
    <w:rPr>
      <w:rFonts w:ascii="Arial" w:eastAsiaTheme="minorHAnsi" w:hAnsi="Arial" w:cstheme="minorBidi"/>
      <w:sz w:val="20"/>
    </w:rPr>
  </w:style>
  <w:style w:type="character" w:customStyle="1" w:styleId="FootnoteTextChar">
    <w:name w:val="Footnote Text Char"/>
    <w:basedOn w:val="DefaultParagraphFont"/>
    <w:link w:val="FootnoteText"/>
    <w:uiPriority w:val="99"/>
    <w:rsid w:val="006B2185"/>
    <w:rPr>
      <w:rFonts w:ascii="Arial" w:eastAsiaTheme="minorHAnsi" w:hAnsi="Arial" w:cstheme="minorBidi"/>
      <w:lang w:eastAsia="en-US"/>
    </w:rPr>
  </w:style>
  <w:style w:type="character" w:styleId="FootnoteReference">
    <w:name w:val="footnote reference"/>
    <w:rsid w:val="006B2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1900</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Standard Form</vt:lpstr>
    </vt:vector>
  </TitlesOfParts>
  <Company>Hampshire Constabulary</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Form</dc:title>
  <dc:subject>Standard Forms Library</dc:subject>
  <dc:creator>York, Stuart, 17529</dc:creator>
  <cp:keywords/>
  <dc:description/>
  <cp:lastModifiedBy>York, Stuart (17529)</cp:lastModifiedBy>
  <cp:revision>14</cp:revision>
  <cp:lastPrinted>2016-01-26T10:00:00Z</cp:lastPrinted>
  <dcterms:created xsi:type="dcterms:W3CDTF">2022-09-23T11:10:00Z</dcterms:created>
  <dcterms:modified xsi:type="dcterms:W3CDTF">2022-09-23T12:27:00Z</dcterms:modified>
</cp:coreProperties>
</file>