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MR PAUL ROLAND</w:instrText>
            </w:r>
          </w:p>
          <w:p w:rsidRPr="008A7340" w:rsidP="008A7340">
            <w:pPr>
              <w:rPr>
                <w:rFonts w:ascii="Arial" w:eastAsia="Calibri" w:hAnsi="Arial" w:cs="Arial"/>
                <w:bCs/>
              </w:rPr>
            </w:pPr>
            <w:r w:rsidRPr="008A7340">
              <w:rPr>
                <w:rFonts w:ascii="Arial" w:eastAsia="Calibri" w:hAnsi="Arial" w:cs="Arial"/>
                <w:bCs/>
              </w:rPr>
              <w:instrText>10 MERRIELEAS CLOSE</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2FP</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T/23/95572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6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T/23/95572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27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2 no. Oak (T1 &amp; T2)- Reduce lower limbs growing towards number 10 and neighbouring properties by 2m.  This reduction will allow adequate clearance of properties.</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10 MERRIELEAS CLOSE, CHANDLER'S FORD, EASTLEIGH, SO53 2FP</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2 no. Oak (T1 &amp; T2)- Reduce lower limbs growing towards number 10 and neighbouring properties by 2m</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