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04502" w14:textId="77777777" w:rsidR="00C127BC" w:rsidRDefault="00515C8D" w:rsidP="00515C8D">
      <w:pPr>
        <w:outlineLvl w:val="0"/>
        <w:rPr>
          <w:rFonts w:ascii="Arial" w:hAnsi="Arial"/>
          <w:b/>
          <w:sz w:val="28"/>
        </w:rPr>
      </w:pPr>
      <w:r>
        <w:rPr>
          <w:rFonts w:ascii="Arial" w:hAnsi="Arial"/>
          <w:b/>
          <w:sz w:val="28"/>
        </w:rPr>
        <w:t>F/23/96050 – 20</w:t>
      </w:r>
      <w:r w:rsidR="00DF3253">
        <w:rPr>
          <w:rFonts w:ascii="Arial" w:hAnsi="Arial"/>
          <w:b/>
          <w:sz w:val="28"/>
        </w:rPr>
        <w:t xml:space="preserve"> </w:t>
      </w:r>
      <w:proofErr w:type="spellStart"/>
      <w:r w:rsidR="00DF3253">
        <w:rPr>
          <w:rFonts w:ascii="Arial" w:hAnsi="Arial"/>
          <w:b/>
          <w:sz w:val="28"/>
        </w:rPr>
        <w:t>C</w:t>
      </w:r>
      <w:r>
        <w:rPr>
          <w:rFonts w:ascii="Arial" w:hAnsi="Arial"/>
          <w:b/>
          <w:sz w:val="28"/>
        </w:rPr>
        <w:t>rowsport</w:t>
      </w:r>
      <w:proofErr w:type="spellEnd"/>
      <w:r>
        <w:rPr>
          <w:rFonts w:ascii="Arial" w:hAnsi="Arial"/>
          <w:b/>
          <w:sz w:val="28"/>
        </w:rPr>
        <w:t>, Hamble-le-Rice, SO31 4HG.</w:t>
      </w:r>
    </w:p>
    <w:p w14:paraId="5D443DA2" w14:textId="77777777" w:rsidR="00C127BC" w:rsidRDefault="00C127BC" w:rsidP="00515C8D">
      <w:pPr>
        <w:outlineLvl w:val="0"/>
        <w:rPr>
          <w:rFonts w:ascii="Arial" w:hAnsi="Arial"/>
          <w:b/>
          <w:sz w:val="28"/>
        </w:rPr>
      </w:pPr>
    </w:p>
    <w:p w14:paraId="4D214EB2" w14:textId="77777777" w:rsidR="008912B7" w:rsidRPr="008912B7" w:rsidRDefault="008912B7" w:rsidP="008912B7">
      <w:pPr>
        <w:rPr>
          <w:rFonts w:ascii="Arial" w:hAnsi="Arial" w:cs="Arial"/>
        </w:rPr>
      </w:pPr>
      <w:r w:rsidRPr="008912B7">
        <w:rPr>
          <w:rFonts w:ascii="Arial" w:hAnsi="Arial" w:cs="Arial"/>
          <w:b/>
        </w:rPr>
        <w:t xml:space="preserve">17.11.23 Update </w:t>
      </w:r>
      <w:r w:rsidRPr="008912B7">
        <w:rPr>
          <w:rFonts w:ascii="Arial" w:hAnsi="Arial" w:cs="Arial"/>
        </w:rPr>
        <w:t>That looks much better, closer to the ethos of the early Modern Movement buildings giving a 'lighter' feel to the canopy and hence more elegant.  No Objection.</w:t>
      </w:r>
    </w:p>
    <w:p w14:paraId="10109352" w14:textId="77777777" w:rsidR="008912B7" w:rsidRPr="008912B7" w:rsidRDefault="008912B7" w:rsidP="00C127BC">
      <w:pPr>
        <w:ind w:right="-489"/>
        <w:outlineLvl w:val="0"/>
        <w:rPr>
          <w:rFonts w:ascii="Arial" w:hAnsi="Arial"/>
          <w:b/>
        </w:rPr>
      </w:pPr>
    </w:p>
    <w:p w14:paraId="1DFD5CE0" w14:textId="538E2AE6" w:rsidR="00515C8D" w:rsidRPr="008912B7" w:rsidRDefault="00C127BC" w:rsidP="00C127BC">
      <w:pPr>
        <w:ind w:right="-489"/>
        <w:outlineLvl w:val="0"/>
        <w:rPr>
          <w:rFonts w:ascii="Arial" w:hAnsi="Arial"/>
        </w:rPr>
      </w:pPr>
      <w:r w:rsidRPr="008912B7">
        <w:rPr>
          <w:rFonts w:ascii="Arial" w:hAnsi="Arial"/>
          <w:b/>
        </w:rPr>
        <w:t xml:space="preserve">16.11.2023. Update.  </w:t>
      </w:r>
      <w:r w:rsidRPr="008912B7">
        <w:rPr>
          <w:rFonts w:ascii="Arial" w:hAnsi="Arial"/>
        </w:rPr>
        <w:t xml:space="preserve">In the light of revised drawings addressing my concerns about the apparent presence of the proposal, the current scheme now sits better in its context, however just one comment about the canopy.  As </w:t>
      </w:r>
      <w:proofErr w:type="gramStart"/>
      <w:r w:rsidRPr="008912B7">
        <w:rPr>
          <w:rFonts w:ascii="Arial" w:hAnsi="Arial"/>
        </w:rPr>
        <w:t>presented</w:t>
      </w:r>
      <w:proofErr w:type="gramEnd"/>
      <w:r w:rsidRPr="008912B7">
        <w:rPr>
          <w:rFonts w:ascii="Arial" w:hAnsi="Arial"/>
        </w:rPr>
        <w:t xml:space="preserve"> this looks like a frame – a trifle heavy – and would be more elegant if it were a supported canopy, more in the idiom of the Maxwell Fry example i.e. the posts either set further back from the canopy edge or the canopy extended slightly and the posts possibly a little slimmer too.  On that basis</w:t>
      </w:r>
      <w:r w:rsidR="005B303A" w:rsidRPr="008912B7">
        <w:rPr>
          <w:rFonts w:ascii="Arial" w:hAnsi="Arial"/>
        </w:rPr>
        <w:t>,</w:t>
      </w:r>
      <w:r w:rsidRPr="008912B7">
        <w:rPr>
          <w:rFonts w:ascii="Arial" w:hAnsi="Arial"/>
        </w:rPr>
        <w:t xml:space="preserve"> No Objection. </w:t>
      </w:r>
    </w:p>
    <w:p w14:paraId="1BE0BBDE" w14:textId="77777777" w:rsidR="00515C8D" w:rsidRPr="008912B7" w:rsidRDefault="00515C8D" w:rsidP="00515C8D">
      <w:pPr>
        <w:rPr>
          <w:rFonts w:ascii="Arial" w:hAnsi="Arial"/>
          <w:b/>
        </w:rPr>
      </w:pPr>
    </w:p>
    <w:p w14:paraId="4466607F" w14:textId="47B5382B" w:rsidR="008912B7" w:rsidRPr="008912B7" w:rsidRDefault="008912B7" w:rsidP="00515C8D">
      <w:pPr>
        <w:rPr>
          <w:rFonts w:ascii="Arial" w:hAnsi="Arial"/>
          <w:b/>
        </w:rPr>
      </w:pPr>
      <w:r w:rsidRPr="008912B7">
        <w:rPr>
          <w:rFonts w:ascii="Arial" w:hAnsi="Arial"/>
          <w:b/>
        </w:rPr>
        <w:t>26.10.23. Comments</w:t>
      </w:r>
    </w:p>
    <w:p w14:paraId="2BDE4ED2" w14:textId="77777777" w:rsidR="008912B7" w:rsidRPr="008912B7" w:rsidRDefault="008912B7" w:rsidP="00515C8D">
      <w:pPr>
        <w:rPr>
          <w:rFonts w:ascii="Arial" w:hAnsi="Arial"/>
          <w:b/>
        </w:rPr>
      </w:pPr>
    </w:p>
    <w:p w14:paraId="1793F9DC" w14:textId="77777777" w:rsidR="00515C8D" w:rsidRPr="008912B7" w:rsidRDefault="00515C8D" w:rsidP="00515C8D">
      <w:pPr>
        <w:outlineLvl w:val="0"/>
        <w:rPr>
          <w:rFonts w:ascii="Arial" w:hAnsi="Arial"/>
          <w:b/>
        </w:rPr>
      </w:pPr>
      <w:r w:rsidRPr="008912B7">
        <w:rPr>
          <w:rFonts w:ascii="Arial" w:hAnsi="Arial"/>
          <w:b/>
        </w:rPr>
        <w:t>Context.</w:t>
      </w:r>
    </w:p>
    <w:p w14:paraId="22E527F8" w14:textId="77777777" w:rsidR="00531DBE" w:rsidRPr="008912B7" w:rsidRDefault="00515C8D" w:rsidP="00515C8D">
      <w:pPr>
        <w:ind w:right="-631"/>
        <w:rPr>
          <w:rFonts w:ascii="Arial" w:hAnsi="Arial"/>
        </w:rPr>
      </w:pPr>
      <w:r w:rsidRPr="008912B7">
        <w:rPr>
          <w:rFonts w:ascii="Arial" w:hAnsi="Arial"/>
        </w:rPr>
        <w:t>This Art Deco estate included in the Hamble Conservation Area since 2008 has a limited architectural language, as these were simple dwellings provided for the crews of large racing yachts in the 1930’s like the J-class ones, requiring large crews. This is the essence of why these heritage assets are included in the conservation area and we need to be careful not to lose sight of its origins or to dilute its character.</w:t>
      </w:r>
    </w:p>
    <w:p w14:paraId="4C3B0DAA" w14:textId="77777777" w:rsidR="00515C8D" w:rsidRPr="008912B7" w:rsidRDefault="00531DBE" w:rsidP="00515C8D">
      <w:pPr>
        <w:ind w:right="-631"/>
        <w:rPr>
          <w:rFonts w:ascii="Arial" w:hAnsi="Arial"/>
        </w:rPr>
      </w:pPr>
      <w:r w:rsidRPr="008912B7">
        <w:rPr>
          <w:rFonts w:ascii="Arial" w:hAnsi="Arial"/>
        </w:rPr>
        <w:t>The nearest listed buildings are those of Copper</w:t>
      </w:r>
      <w:r w:rsidR="006F4B7D" w:rsidRPr="008912B7">
        <w:rPr>
          <w:rFonts w:ascii="Arial" w:hAnsi="Arial"/>
        </w:rPr>
        <w:t xml:space="preserve"> Hill Terrace in The Square which are sufficiently far away not to be affected immediately or their setting by any proposal in </w:t>
      </w:r>
      <w:proofErr w:type="spellStart"/>
      <w:r w:rsidR="006F4B7D" w:rsidRPr="008912B7">
        <w:rPr>
          <w:rFonts w:ascii="Arial" w:hAnsi="Arial"/>
        </w:rPr>
        <w:t>Crowsport</w:t>
      </w:r>
      <w:proofErr w:type="spellEnd"/>
      <w:r w:rsidR="006F4B7D" w:rsidRPr="008912B7">
        <w:rPr>
          <w:rFonts w:ascii="Arial" w:hAnsi="Arial"/>
        </w:rPr>
        <w:t>.</w:t>
      </w:r>
    </w:p>
    <w:p w14:paraId="108811EC" w14:textId="77777777" w:rsidR="00515C8D" w:rsidRPr="008912B7" w:rsidRDefault="00515C8D" w:rsidP="00515C8D">
      <w:pPr>
        <w:ind w:right="-631"/>
        <w:rPr>
          <w:rFonts w:ascii="Arial" w:hAnsi="Arial"/>
        </w:rPr>
      </w:pPr>
      <w:r w:rsidRPr="008912B7">
        <w:rPr>
          <w:rFonts w:ascii="Arial" w:hAnsi="Arial"/>
        </w:rPr>
        <w:t xml:space="preserve">No 20 is one of the originals from 1935 but like most has suffered the ignominy of inappropriate extensions and replacement windows and unfortunately will have a hopeless energy rating having been designed primarily for summer use and dating from pre-central heating days when </w:t>
      </w:r>
      <w:proofErr w:type="gramStart"/>
      <w:r w:rsidRPr="008912B7">
        <w:rPr>
          <w:rFonts w:ascii="Arial" w:hAnsi="Arial"/>
        </w:rPr>
        <w:t>peoples</w:t>
      </w:r>
      <w:proofErr w:type="gramEnd"/>
      <w:r w:rsidRPr="008912B7">
        <w:rPr>
          <w:rFonts w:ascii="Arial" w:hAnsi="Arial"/>
        </w:rPr>
        <w:t xml:space="preserve"> expectation of comfort was considerably lower than today.  This one is also suffering from lack of maintenance.</w:t>
      </w:r>
    </w:p>
    <w:p w14:paraId="4F243212" w14:textId="77777777" w:rsidR="006F4B7D" w:rsidRPr="008912B7" w:rsidRDefault="006F4B7D" w:rsidP="00515C8D">
      <w:pPr>
        <w:ind w:right="-631"/>
        <w:rPr>
          <w:rFonts w:ascii="Arial" w:hAnsi="Arial"/>
          <w:b/>
        </w:rPr>
      </w:pPr>
      <w:r w:rsidRPr="008912B7">
        <w:rPr>
          <w:rFonts w:ascii="Arial" w:hAnsi="Arial"/>
          <w:b/>
        </w:rPr>
        <w:t>The Proposal.</w:t>
      </w:r>
    </w:p>
    <w:p w14:paraId="3AA1C43E" w14:textId="77777777" w:rsidR="00960E47" w:rsidRPr="008912B7" w:rsidRDefault="00813761" w:rsidP="00515C8D">
      <w:pPr>
        <w:ind w:right="-631"/>
        <w:rPr>
          <w:rFonts w:ascii="Arial" w:hAnsi="Arial"/>
        </w:rPr>
      </w:pPr>
      <w:r w:rsidRPr="008912B7">
        <w:rPr>
          <w:rFonts w:ascii="Arial" w:hAnsi="Arial"/>
        </w:rPr>
        <w:t>This scheme is for a small ground floor extension to the rear of the garage adjacent to the street and the addition of a first floor who’s totally enclosed area is less than the required 50% of ground floor area.  This additional living space is to be placed toward the rear of the built form away from the street, thereby reducing its impact on the street scene.</w:t>
      </w:r>
    </w:p>
    <w:p w14:paraId="6AF240FC" w14:textId="77777777" w:rsidR="00DF3253" w:rsidRPr="008912B7" w:rsidRDefault="00960E47" w:rsidP="00515C8D">
      <w:pPr>
        <w:ind w:right="-631"/>
        <w:rPr>
          <w:rFonts w:ascii="Arial" w:hAnsi="Arial"/>
        </w:rPr>
      </w:pPr>
      <w:r w:rsidRPr="008912B7">
        <w:rPr>
          <w:rFonts w:ascii="Arial" w:hAnsi="Arial"/>
        </w:rPr>
        <w:t>While the totally enclosed first floor space may be within the 50% limit, the visual and actual effect of the overall structure is one of being greater than 50%.  This combined with the raised parapets</w:t>
      </w:r>
      <w:r w:rsidR="00DF3253" w:rsidRPr="008912B7">
        <w:rPr>
          <w:rFonts w:ascii="Arial" w:hAnsi="Arial"/>
        </w:rPr>
        <w:t xml:space="preserve"> give a monumental impression, which is quite out of keeping with the ethos of the estate – a very big jump from the low profile of the original dwellings, particularly where adjacent to the road.</w:t>
      </w:r>
    </w:p>
    <w:p w14:paraId="6AB3E1CE" w14:textId="77777777" w:rsidR="00A967E2" w:rsidRPr="008912B7" w:rsidRDefault="00DF3253" w:rsidP="00515C8D">
      <w:pPr>
        <w:ind w:right="-631"/>
        <w:rPr>
          <w:rFonts w:ascii="Arial" w:hAnsi="Arial"/>
        </w:rPr>
      </w:pPr>
      <w:r w:rsidRPr="008912B7">
        <w:rPr>
          <w:rFonts w:ascii="Arial" w:hAnsi="Arial"/>
        </w:rPr>
        <w:t xml:space="preserve">The need for covered external area and solar control can be met within the spirit of </w:t>
      </w:r>
      <w:r w:rsidR="00A967E2" w:rsidRPr="008912B7">
        <w:rPr>
          <w:rFonts w:ascii="Arial" w:hAnsi="Arial"/>
        </w:rPr>
        <w:t xml:space="preserve">the rule by a projecting canopy, </w:t>
      </w:r>
      <w:r w:rsidRPr="008912B7">
        <w:rPr>
          <w:rFonts w:ascii="Arial" w:hAnsi="Arial"/>
        </w:rPr>
        <w:t xml:space="preserve">which has a much lighter effect than the proposed structural frame and the effective height of the raised parapet can be resolved </w:t>
      </w:r>
      <w:proofErr w:type="gramStart"/>
      <w:r w:rsidRPr="008912B7">
        <w:rPr>
          <w:rFonts w:ascii="Arial" w:hAnsi="Arial"/>
        </w:rPr>
        <w:t>by the use of</w:t>
      </w:r>
      <w:proofErr w:type="gramEnd"/>
      <w:r w:rsidRPr="008912B7">
        <w:rPr>
          <w:rFonts w:ascii="Arial" w:hAnsi="Arial"/>
        </w:rPr>
        <w:t xml:space="preserve"> glass balustrading as evidenced by </w:t>
      </w:r>
      <w:r w:rsidR="00A967E2" w:rsidRPr="008912B7">
        <w:rPr>
          <w:rFonts w:ascii="Arial" w:hAnsi="Arial"/>
        </w:rPr>
        <w:t>No 18 for example.</w:t>
      </w:r>
      <w:r w:rsidRPr="008912B7">
        <w:rPr>
          <w:rFonts w:ascii="Arial" w:hAnsi="Arial"/>
        </w:rPr>
        <w:t xml:space="preserve">  </w:t>
      </w:r>
      <w:proofErr w:type="gramStart"/>
      <w:r w:rsidR="00A967E2" w:rsidRPr="008912B7">
        <w:rPr>
          <w:rFonts w:ascii="Arial" w:hAnsi="Arial"/>
        </w:rPr>
        <w:t>Both of these</w:t>
      </w:r>
      <w:proofErr w:type="gramEnd"/>
      <w:r w:rsidR="00A967E2" w:rsidRPr="008912B7">
        <w:rPr>
          <w:rFonts w:ascii="Arial" w:hAnsi="Arial"/>
        </w:rPr>
        <w:t xml:space="preserve"> will reduce the effective baulk of the proposal to be more in keeping with the estate.</w:t>
      </w:r>
    </w:p>
    <w:p w14:paraId="11EA8929" w14:textId="77777777" w:rsidR="00A967E2" w:rsidRPr="008912B7" w:rsidRDefault="00A967E2" w:rsidP="00515C8D">
      <w:pPr>
        <w:ind w:right="-631"/>
        <w:rPr>
          <w:rFonts w:ascii="Arial" w:hAnsi="Arial"/>
          <w:b/>
        </w:rPr>
      </w:pPr>
      <w:r w:rsidRPr="008912B7">
        <w:rPr>
          <w:rFonts w:ascii="Arial" w:hAnsi="Arial"/>
          <w:b/>
        </w:rPr>
        <w:t>Conclusion.</w:t>
      </w:r>
    </w:p>
    <w:p w14:paraId="6D9C9DE4" w14:textId="77777777" w:rsidR="005B303A" w:rsidRPr="008912B7" w:rsidRDefault="00A967E2" w:rsidP="00515C8D">
      <w:pPr>
        <w:ind w:right="-631"/>
        <w:rPr>
          <w:rFonts w:ascii="Arial" w:hAnsi="Arial"/>
        </w:rPr>
      </w:pPr>
      <w:r w:rsidRPr="008912B7">
        <w:rPr>
          <w:rFonts w:ascii="Arial" w:hAnsi="Arial"/>
        </w:rPr>
        <w:lastRenderedPageBreak/>
        <w:t>While this proposal might be within the letter of the 50% rule, it is not in the spirit of it and is detrimental to the visual qualities of the estate and this part of the Hamble Conservation Area.  Holding o</w:t>
      </w:r>
      <w:r w:rsidR="00C127BC" w:rsidRPr="008912B7">
        <w:rPr>
          <w:rFonts w:ascii="Arial" w:hAnsi="Arial"/>
        </w:rPr>
        <w:t>b</w:t>
      </w:r>
      <w:r w:rsidRPr="008912B7">
        <w:rPr>
          <w:rFonts w:ascii="Arial" w:hAnsi="Arial"/>
        </w:rPr>
        <w:t>jection.</w:t>
      </w:r>
    </w:p>
    <w:p w14:paraId="2C623648" w14:textId="77777777" w:rsidR="00A967E2" w:rsidRPr="008912B7" w:rsidRDefault="00A967E2" w:rsidP="00515C8D">
      <w:pPr>
        <w:ind w:right="-631"/>
        <w:rPr>
          <w:rFonts w:ascii="Arial" w:hAnsi="Arial"/>
        </w:rPr>
      </w:pPr>
    </w:p>
    <w:p w14:paraId="4EC924C6" w14:textId="77777777" w:rsidR="009B4CF5" w:rsidRPr="008912B7" w:rsidRDefault="00A967E2" w:rsidP="00C127BC">
      <w:pPr>
        <w:ind w:right="-631"/>
        <w:rPr>
          <w:rFonts w:ascii="Arial" w:hAnsi="Arial"/>
          <w:color w:val="222222"/>
        </w:rPr>
      </w:pPr>
      <w:r w:rsidRPr="008912B7">
        <w:rPr>
          <w:rFonts w:ascii="Arial" w:hAnsi="Arial"/>
        </w:rPr>
        <w:t>26.10.2023.</w:t>
      </w:r>
      <w:r w:rsidR="00C127BC" w:rsidRPr="008912B7">
        <w:rPr>
          <w:rFonts w:ascii="Arial" w:hAnsi="Arial"/>
        </w:rPr>
        <w:t xml:space="preserve"> </w:t>
      </w:r>
      <w:r w:rsidR="009B4CF5" w:rsidRPr="008912B7">
        <w:rPr>
          <w:rFonts w:ascii="Arial" w:hAnsi="Arial"/>
          <w:b/>
          <w:color w:val="0000FF"/>
          <w:shd w:val="clear" w:color="auto" w:fill="FFFFFF"/>
        </w:rPr>
        <w:t>Tim J S Dyer,</w:t>
      </w:r>
      <w:r w:rsidR="009B4CF5" w:rsidRPr="008912B7">
        <w:rPr>
          <w:rFonts w:ascii="Arial" w:hAnsi="Arial"/>
          <w:color w:val="0000FF"/>
        </w:rPr>
        <w:t> </w:t>
      </w:r>
      <w:proofErr w:type="gramStart"/>
      <w:r w:rsidR="009B4CF5" w:rsidRPr="008912B7">
        <w:rPr>
          <w:rFonts w:ascii="Arial" w:hAnsi="Arial"/>
          <w:color w:val="666666"/>
          <w:shd w:val="clear" w:color="auto" w:fill="FFFFFF"/>
        </w:rPr>
        <w:t>B.Sc.,</w:t>
      </w:r>
      <w:proofErr w:type="spellStart"/>
      <w:r w:rsidR="009B4CF5" w:rsidRPr="008912B7">
        <w:rPr>
          <w:rFonts w:ascii="Arial" w:hAnsi="Arial"/>
          <w:color w:val="666666"/>
          <w:shd w:val="clear" w:color="auto" w:fill="FFFFFF"/>
        </w:rPr>
        <w:t>Dip.Arch</w:t>
      </w:r>
      <w:proofErr w:type="spellEnd"/>
      <w:r w:rsidR="009B4CF5" w:rsidRPr="008912B7">
        <w:rPr>
          <w:rFonts w:ascii="Arial" w:hAnsi="Arial"/>
          <w:color w:val="666666"/>
          <w:shd w:val="clear" w:color="auto" w:fill="FFFFFF"/>
        </w:rPr>
        <w:t>.</w:t>
      </w:r>
      <w:proofErr w:type="gramEnd"/>
      <w:r w:rsidR="009B4CF5" w:rsidRPr="008912B7">
        <w:rPr>
          <w:rFonts w:ascii="Arial" w:hAnsi="Arial"/>
          <w:color w:val="666666"/>
          <w:shd w:val="clear" w:color="auto" w:fill="FFFFFF"/>
        </w:rPr>
        <w:t>(</w:t>
      </w:r>
      <w:proofErr w:type="spellStart"/>
      <w:r w:rsidR="009B4CF5" w:rsidRPr="008912B7">
        <w:rPr>
          <w:rFonts w:ascii="Arial" w:hAnsi="Arial"/>
          <w:color w:val="666666"/>
          <w:shd w:val="clear" w:color="auto" w:fill="FFFFFF"/>
        </w:rPr>
        <w:t>Birm</w:t>
      </w:r>
      <w:proofErr w:type="spellEnd"/>
      <w:r w:rsidR="009B4CF5" w:rsidRPr="008912B7">
        <w:rPr>
          <w:rFonts w:ascii="Arial" w:hAnsi="Arial"/>
          <w:color w:val="666666"/>
          <w:shd w:val="clear" w:color="auto" w:fill="FFFFFF"/>
        </w:rPr>
        <w:t xml:space="preserve">), </w:t>
      </w:r>
      <w:proofErr w:type="spellStart"/>
      <w:r w:rsidR="009B4CF5" w:rsidRPr="008912B7">
        <w:rPr>
          <w:rFonts w:ascii="Arial" w:hAnsi="Arial"/>
          <w:color w:val="666666"/>
          <w:shd w:val="clear" w:color="auto" w:fill="FFFFFF"/>
        </w:rPr>
        <w:t>Grad.Dip.Conservation</w:t>
      </w:r>
      <w:proofErr w:type="spellEnd"/>
      <w:r w:rsidR="009B4CF5" w:rsidRPr="008912B7">
        <w:rPr>
          <w:rFonts w:ascii="Arial" w:hAnsi="Arial"/>
          <w:color w:val="666666"/>
          <w:shd w:val="clear" w:color="auto" w:fill="FFFFFF"/>
        </w:rPr>
        <w:t xml:space="preserve">(AA), RIBA. </w:t>
      </w:r>
      <w:r w:rsidR="009B4CF5" w:rsidRPr="008912B7">
        <w:rPr>
          <w:rFonts w:ascii="Arial" w:hAnsi="Arial"/>
          <w:color w:val="0000FF"/>
        </w:rPr>
        <w:t>Built Heritage Consultant.</w:t>
      </w:r>
      <w:r w:rsidR="009B4CF5" w:rsidRPr="008912B7">
        <w:rPr>
          <w:rFonts w:ascii="Arial" w:hAnsi="Arial"/>
          <w:color w:val="222222"/>
        </w:rPr>
        <w:t> </w:t>
      </w:r>
    </w:p>
    <w:p w14:paraId="159497C0" w14:textId="77777777" w:rsidR="009B4CF5" w:rsidRPr="008912B7" w:rsidRDefault="009B4CF5" w:rsidP="009B4CF5">
      <w:pPr>
        <w:rPr>
          <w:rFonts w:ascii="Times" w:hAnsi="Times"/>
        </w:rPr>
      </w:pPr>
    </w:p>
    <w:p w14:paraId="008E4FBC" w14:textId="77777777" w:rsidR="00515C8D" w:rsidRPr="008912B7" w:rsidRDefault="00A967E2" w:rsidP="00515C8D">
      <w:pPr>
        <w:ind w:right="-631"/>
        <w:rPr>
          <w:rFonts w:ascii="Arial" w:hAnsi="Arial"/>
        </w:rPr>
      </w:pPr>
      <w:r w:rsidRPr="008912B7">
        <w:rPr>
          <w:rFonts w:ascii="Arial" w:hAnsi="Arial"/>
        </w:rPr>
        <w:t xml:space="preserve">   </w:t>
      </w:r>
    </w:p>
    <w:p w14:paraId="6E958E80" w14:textId="77777777" w:rsidR="00531DBE" w:rsidRPr="008912B7" w:rsidRDefault="00531DBE">
      <w:pPr>
        <w:rPr>
          <w:rFonts w:ascii="Arial" w:hAnsi="Arial"/>
        </w:rPr>
      </w:pPr>
    </w:p>
    <w:sectPr w:rsidR="00531DBE" w:rsidRPr="008912B7" w:rsidSect="00531DBE">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C8D"/>
    <w:rsid w:val="00515C8D"/>
    <w:rsid w:val="00531DBE"/>
    <w:rsid w:val="005B303A"/>
    <w:rsid w:val="006F4B7D"/>
    <w:rsid w:val="00813761"/>
    <w:rsid w:val="008912B7"/>
    <w:rsid w:val="00960E47"/>
    <w:rsid w:val="009B4CF5"/>
    <w:rsid w:val="00A04FCD"/>
    <w:rsid w:val="00A8280D"/>
    <w:rsid w:val="00A967E2"/>
    <w:rsid w:val="00C127BC"/>
    <w:rsid w:val="00DF3253"/>
    <w:rsid w:val="00FC17D6"/>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8AD702E"/>
  <w15:docId w15:val="{5B9AEDCC-2A7D-4CB7-B297-260FAF82D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C8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B4C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7344409">
      <w:bodyDiv w:val="1"/>
      <w:marLeft w:val="0"/>
      <w:marRight w:val="0"/>
      <w:marTop w:val="0"/>
      <w:marBottom w:val="0"/>
      <w:divBdr>
        <w:top w:val="none" w:sz="0" w:space="0" w:color="auto"/>
        <w:left w:val="none" w:sz="0" w:space="0" w:color="auto"/>
        <w:bottom w:val="none" w:sz="0" w:space="0" w:color="auto"/>
        <w:right w:val="none" w:sz="0" w:space="0" w:color="auto"/>
      </w:divBdr>
      <w:divsChild>
        <w:div w:id="245190518">
          <w:marLeft w:val="0"/>
          <w:marRight w:val="0"/>
          <w:marTop w:val="0"/>
          <w:marBottom w:val="0"/>
          <w:divBdr>
            <w:top w:val="none" w:sz="0" w:space="0" w:color="auto"/>
            <w:left w:val="none" w:sz="0" w:space="0" w:color="auto"/>
            <w:bottom w:val="none" w:sz="0" w:space="0" w:color="auto"/>
            <w:right w:val="none" w:sz="0" w:space="0" w:color="auto"/>
          </w:divBdr>
        </w:div>
      </w:divsChild>
    </w:div>
    <w:div w:id="21438865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2850</Characters>
  <Application>Microsoft Office Word</Application>
  <DocSecurity>0</DocSecurity>
  <Lines>23</Lines>
  <Paragraphs>6</Paragraphs>
  <ScaleCrop>false</ScaleCrop>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Martin, Clare</cp:lastModifiedBy>
  <cp:revision>2</cp:revision>
  <dcterms:created xsi:type="dcterms:W3CDTF">2023-11-17T09:34:00Z</dcterms:created>
  <dcterms:modified xsi:type="dcterms:W3CDTF">2023-11-17T09:34:00Z</dcterms:modified>
</cp:coreProperties>
</file>