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F26D2" w14:textId="5CB79B0B" w:rsidR="0052238A" w:rsidRDefault="000555F0">
      <w:r>
        <w:t>Drainage Response to Consultee Comments DC/23/95471 and DC/21/91472</w:t>
      </w:r>
    </w:p>
    <w:p w14:paraId="17891AE5" w14:textId="77777777" w:rsidR="000555F0" w:rsidRDefault="000555F0"/>
    <w:p w14:paraId="6E937BF5"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‘Hi Liz</w:t>
      </w:r>
    </w:p>
    <w:p w14:paraId="2B076798"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I’ve been reviewing the 2 Boorley Green applications for Phases 2 and 3.</w:t>
      </w:r>
    </w:p>
    <w:p w14:paraId="561DFE92"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Although the condition to be discharged is the same, I’ve been given different information for each package and am now finding discrepancies between the 2.</w:t>
      </w:r>
    </w:p>
    <w:p w14:paraId="57BC0466"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Drawings Submitted for phase 2 only:</w:t>
      </w:r>
    </w:p>
    <w:p w14:paraId="6301A354" w14:textId="77777777" w:rsidR="000555F0" w:rsidRPr="000555F0" w:rsidRDefault="000555F0" w:rsidP="000555F0">
      <w:pPr>
        <w:numPr>
          <w:ilvl w:val="0"/>
          <w:numId w:val="1"/>
        </w:num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S104 plans.</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PFA have provided S104 plans for 2C and Infrastructure only. Plans for Phases 2B, 3E and 3F will be </w:t>
      </w:r>
      <w:r w:rsidRPr="000555F0">
        <w:rPr>
          <w:rFonts w:ascii="Arial" w:eastAsia="Times New Roman" w:hAnsi="Arial" w:cs="Arial"/>
          <w:b/>
          <w:bCs/>
          <w:color w:val="FF0000"/>
          <w:sz w:val="18"/>
          <w:szCs w:val="18"/>
          <w:lang w:eastAsia="en-GB"/>
        </w:rPr>
        <w:t>by others</w:t>
      </w:r>
      <w:r w:rsidRPr="000555F0">
        <w:rPr>
          <w:rFonts w:ascii="Arial" w:eastAsia="Times New Roman" w:hAnsi="Arial" w:cs="Arial"/>
          <w:color w:val="FF0000"/>
          <w:sz w:val="18"/>
          <w:szCs w:val="18"/>
          <w:lang w:eastAsia="en-GB"/>
        </w:rPr>
        <w:t>.</w:t>
      </w:r>
    </w:p>
    <w:p w14:paraId="50E3CB65" w14:textId="77777777" w:rsidR="000555F0" w:rsidRPr="000555F0" w:rsidRDefault="000555F0" w:rsidP="000555F0">
      <w:pPr>
        <w:numPr>
          <w:ilvl w:val="0"/>
          <w:numId w:val="1"/>
        </w:num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Detention Basin C &amp; D.</w:t>
      </w:r>
      <w:r w:rsidRPr="000555F0">
        <w:rPr>
          <w:rFonts w:ascii="Calibri" w:eastAsia="Times New Roman" w:hAnsi="Calibri" w:cs="Calibri"/>
          <w:color w:val="212121"/>
          <w:sz w:val="22"/>
          <w:szCs w:val="22"/>
          <w:lang w:eastAsia="en-GB"/>
        </w:rPr>
        <w:t> </w:t>
      </w:r>
      <w:r w:rsidRPr="000555F0">
        <w:rPr>
          <w:rFonts w:ascii="Calibri" w:eastAsia="Times New Roman" w:hAnsi="Calibri" w:cs="Calibri"/>
          <w:color w:val="FF0000"/>
          <w:sz w:val="22"/>
          <w:szCs w:val="22"/>
          <w:lang w:eastAsia="en-GB"/>
        </w:rPr>
        <w:t>B</w:t>
      </w:r>
      <w:r w:rsidRPr="000555F0">
        <w:rPr>
          <w:rFonts w:ascii="Arial" w:eastAsia="Times New Roman" w:hAnsi="Arial" w:cs="Arial"/>
          <w:color w:val="FF0000"/>
          <w:sz w:val="18"/>
          <w:szCs w:val="18"/>
          <w:lang w:eastAsia="en-GB"/>
        </w:rPr>
        <w:t>asins C &amp; D serve Phase 2 and Phases 3D to 3H (not Phases 3A to 3C).</w:t>
      </w:r>
    </w:p>
    <w:p w14:paraId="4DFEC186" w14:textId="77777777" w:rsidR="000555F0" w:rsidRPr="000555F0" w:rsidRDefault="000555F0" w:rsidP="000555F0">
      <w:pPr>
        <w:numPr>
          <w:ilvl w:val="0"/>
          <w:numId w:val="1"/>
        </w:num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Phasing Plan.</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This is an AAP drawing.</w:t>
      </w:r>
    </w:p>
    <w:p w14:paraId="415317BB" w14:textId="77777777" w:rsidR="000555F0" w:rsidRPr="000555F0" w:rsidRDefault="000555F0" w:rsidP="000555F0">
      <w:pPr>
        <w:ind w:left="720" w:hanging="360"/>
        <w:rPr>
          <w:rFonts w:ascii="Calibri" w:eastAsia="Times New Roman" w:hAnsi="Calibri" w:cs="Calibri"/>
          <w:color w:val="212121"/>
          <w:sz w:val="20"/>
          <w:szCs w:val="20"/>
          <w:lang w:eastAsia="en-GB"/>
        </w:rPr>
      </w:pPr>
      <w:r w:rsidRPr="000555F0">
        <w:rPr>
          <w:rFonts w:ascii="Symbol" w:eastAsia="Times New Roman" w:hAnsi="Symbol" w:cs="Calibri"/>
          <w:color w:val="212121"/>
          <w:sz w:val="22"/>
          <w:szCs w:val="22"/>
          <w:lang w:eastAsia="en-GB"/>
        </w:rPr>
        <w:t>·</w:t>
      </w:r>
      <w:r w:rsidRPr="000555F0">
        <w:rPr>
          <w:rFonts w:ascii="Times New Roman" w:eastAsia="Times New Roman" w:hAnsi="Times New Roman" w:cs="Times New Roman"/>
          <w:color w:val="212121"/>
          <w:sz w:val="14"/>
          <w:szCs w:val="14"/>
          <w:lang w:eastAsia="en-GB"/>
        </w:rPr>
        <w:t>         </w:t>
      </w:r>
      <w:r w:rsidRPr="000555F0">
        <w:rPr>
          <w:rFonts w:ascii="Calibri" w:eastAsia="Times New Roman" w:hAnsi="Calibri" w:cs="Calibri"/>
          <w:i/>
          <w:iCs/>
          <w:color w:val="212121"/>
          <w:sz w:val="22"/>
          <w:szCs w:val="22"/>
          <w:lang w:eastAsia="en-GB"/>
        </w:rPr>
        <w:t>Headwall Details</w:t>
      </w:r>
      <w:r w:rsidRPr="000555F0">
        <w:rPr>
          <w:rFonts w:ascii="Calibri" w:eastAsia="Times New Roman" w:hAnsi="Calibri" w:cs="Calibri"/>
          <w:color w:val="212121"/>
          <w:sz w:val="22"/>
          <w:szCs w:val="22"/>
          <w:lang w:eastAsia="en-GB"/>
        </w:rPr>
        <w:t>.</w:t>
      </w:r>
      <w:r w:rsidRPr="000555F0">
        <w:rPr>
          <w:rFonts w:ascii="Arial" w:eastAsia="Times New Roman" w:hAnsi="Arial" w:cs="Arial"/>
          <w:color w:val="FF0000"/>
          <w:sz w:val="18"/>
          <w:szCs w:val="18"/>
          <w:lang w:eastAsia="en-GB"/>
        </w:rPr>
        <w:t> Presuming Phase 2 covered Basin C, the attached Drawing No. M434/94 Revision D was submitted for Phase 3 (covering Basin D).</w:t>
      </w:r>
    </w:p>
    <w:p w14:paraId="2BC249E9" w14:textId="77777777" w:rsidR="000555F0" w:rsidRPr="000555F0" w:rsidRDefault="000555F0" w:rsidP="000555F0">
      <w:pPr>
        <w:numPr>
          <w:ilvl w:val="0"/>
          <w:numId w:val="2"/>
        </w:num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Maintenance Plan.</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 xml:space="preserve">PFA File Note M434-FN20 Rev A was produced for Phases 2, 3B, 3C and 3D as requested. A similar document </w:t>
      </w:r>
      <w:proofErr w:type="gramStart"/>
      <w:r w:rsidRPr="000555F0">
        <w:rPr>
          <w:rFonts w:ascii="Arial" w:eastAsia="Times New Roman" w:hAnsi="Arial" w:cs="Arial"/>
          <w:color w:val="FF0000"/>
          <w:sz w:val="18"/>
          <w:szCs w:val="18"/>
          <w:lang w:eastAsia="en-GB"/>
        </w:rPr>
        <w:t>have</w:t>
      </w:r>
      <w:proofErr w:type="gramEnd"/>
      <w:r w:rsidRPr="000555F0">
        <w:rPr>
          <w:rFonts w:ascii="Arial" w:eastAsia="Times New Roman" w:hAnsi="Arial" w:cs="Arial"/>
          <w:color w:val="FF0000"/>
          <w:sz w:val="18"/>
          <w:szCs w:val="18"/>
          <w:lang w:eastAsia="en-GB"/>
        </w:rPr>
        <w:t xml:space="preserve"> been produced for Phases 3E to 3F as required – please refer to the attached File Note M434-FN22.</w:t>
      </w:r>
    </w:p>
    <w:p w14:paraId="579A357A"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52026E3F"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 xml:space="preserve">Phase 3 identifies </w:t>
      </w:r>
      <w:proofErr w:type="spellStart"/>
      <w:r w:rsidRPr="000555F0">
        <w:rPr>
          <w:rFonts w:ascii="Calibri" w:eastAsia="Times New Roman" w:hAnsi="Calibri" w:cs="Calibri"/>
          <w:i/>
          <w:iCs/>
          <w:color w:val="212121"/>
          <w:sz w:val="22"/>
          <w:szCs w:val="22"/>
          <w:lang w:eastAsia="en-GB"/>
        </w:rPr>
        <w:t>SuDS</w:t>
      </w:r>
      <w:proofErr w:type="spellEnd"/>
      <w:r w:rsidRPr="000555F0">
        <w:rPr>
          <w:rFonts w:ascii="Calibri" w:eastAsia="Times New Roman" w:hAnsi="Calibri" w:cs="Calibri"/>
          <w:i/>
          <w:iCs/>
          <w:color w:val="212121"/>
          <w:sz w:val="22"/>
          <w:szCs w:val="22"/>
          <w:lang w:eastAsia="en-GB"/>
        </w:rPr>
        <w:t xml:space="preserve"> to be maintained by a management company whereas Phase 2 states the Sewerage Undertaker will adopt. It is not clear where the delineation is for maintenance i.e. will ICOSA take on pipes between swales and pond or is this the management company. It would be sensible to have a plan with the extent of responsibilities clearly marked.</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 xml:space="preserve">The Phase 3 Drainage Statement was produced before </w:t>
      </w:r>
      <w:proofErr w:type="spellStart"/>
      <w:r w:rsidRPr="000555F0">
        <w:rPr>
          <w:rFonts w:ascii="Arial" w:eastAsia="Times New Roman" w:hAnsi="Arial" w:cs="Arial"/>
          <w:color w:val="FF0000"/>
          <w:sz w:val="18"/>
          <w:szCs w:val="18"/>
          <w:lang w:eastAsia="en-GB"/>
        </w:rPr>
        <w:t>Icosa</w:t>
      </w:r>
      <w:proofErr w:type="spellEnd"/>
      <w:r w:rsidRPr="000555F0">
        <w:rPr>
          <w:rFonts w:ascii="Arial" w:eastAsia="Times New Roman" w:hAnsi="Arial" w:cs="Arial"/>
          <w:color w:val="FF0000"/>
          <w:sz w:val="18"/>
          <w:szCs w:val="18"/>
          <w:lang w:eastAsia="en-GB"/>
        </w:rPr>
        <w:t xml:space="preserve"> confirmed they were willing to adopt the </w:t>
      </w:r>
      <w:proofErr w:type="spellStart"/>
      <w:r w:rsidRPr="000555F0">
        <w:rPr>
          <w:rFonts w:ascii="Arial" w:eastAsia="Times New Roman" w:hAnsi="Arial" w:cs="Arial"/>
          <w:color w:val="FF0000"/>
          <w:sz w:val="18"/>
          <w:szCs w:val="18"/>
          <w:lang w:eastAsia="en-GB"/>
        </w:rPr>
        <w:t>SuDS</w:t>
      </w:r>
      <w:proofErr w:type="spellEnd"/>
      <w:r w:rsidRPr="000555F0">
        <w:rPr>
          <w:rFonts w:ascii="Arial" w:eastAsia="Times New Roman" w:hAnsi="Arial" w:cs="Arial"/>
          <w:color w:val="FF0000"/>
          <w:sz w:val="18"/>
          <w:szCs w:val="18"/>
          <w:lang w:eastAsia="en-GB"/>
        </w:rPr>
        <w:t xml:space="preserve"> features, so it needed to be updated – please refer to the attached updated File Note M380-FN23 Issue 3 (specifically Paragraph 3.17). </w:t>
      </w:r>
      <w:r w:rsidRPr="000555F0">
        <w:rPr>
          <w:rFonts w:ascii="Calibri" w:eastAsia="Times New Roman" w:hAnsi="Calibri" w:cs="Calibri"/>
          <w:i/>
          <w:iCs/>
          <w:color w:val="212121"/>
          <w:sz w:val="22"/>
          <w:szCs w:val="22"/>
          <w:lang w:eastAsia="en-GB"/>
        </w:rPr>
        <w:t xml:space="preserve">There is a S104 plan for phase 2 but doesn’t appear to be one for Phase 3. There is also no evidence that the various bodies will accept maintenance or what the </w:t>
      </w:r>
      <w:proofErr w:type="gramStart"/>
      <w:r w:rsidRPr="000555F0">
        <w:rPr>
          <w:rFonts w:ascii="Calibri" w:eastAsia="Times New Roman" w:hAnsi="Calibri" w:cs="Calibri"/>
          <w:i/>
          <w:iCs/>
          <w:color w:val="212121"/>
          <w:sz w:val="22"/>
          <w:szCs w:val="22"/>
          <w:lang w:eastAsia="en-GB"/>
        </w:rPr>
        <w:t>fall back</w:t>
      </w:r>
      <w:proofErr w:type="gramEnd"/>
      <w:r w:rsidRPr="000555F0">
        <w:rPr>
          <w:rFonts w:ascii="Calibri" w:eastAsia="Times New Roman" w:hAnsi="Calibri" w:cs="Calibri"/>
          <w:i/>
          <w:iCs/>
          <w:color w:val="212121"/>
          <w:sz w:val="22"/>
          <w:szCs w:val="22"/>
          <w:lang w:eastAsia="en-GB"/>
        </w:rPr>
        <w:t xml:space="preserve"> option is if adoption is not undertaken.</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 xml:space="preserve">The attached S104 plan, Drawing No. M434/127 Revision B, is for the Phase 3 Infrastructure including basins and swales. Subsequent S104 agreements need to be agreed with </w:t>
      </w:r>
      <w:proofErr w:type="spellStart"/>
      <w:r w:rsidRPr="000555F0">
        <w:rPr>
          <w:rFonts w:ascii="Arial" w:eastAsia="Times New Roman" w:hAnsi="Arial" w:cs="Arial"/>
          <w:color w:val="FF0000"/>
          <w:sz w:val="18"/>
          <w:szCs w:val="18"/>
          <w:lang w:eastAsia="en-GB"/>
        </w:rPr>
        <w:t>Icosa</w:t>
      </w:r>
      <w:proofErr w:type="spellEnd"/>
      <w:r w:rsidRPr="000555F0">
        <w:rPr>
          <w:rFonts w:ascii="Arial" w:eastAsia="Times New Roman" w:hAnsi="Arial" w:cs="Arial"/>
          <w:color w:val="FF0000"/>
          <w:sz w:val="18"/>
          <w:szCs w:val="18"/>
          <w:lang w:eastAsia="en-GB"/>
        </w:rPr>
        <w:t xml:space="preserve"> – the Agreement Plans will be created as part of those agreement processes (</w:t>
      </w:r>
      <w:r w:rsidRPr="000555F0">
        <w:rPr>
          <w:rFonts w:ascii="Arial" w:eastAsia="Times New Roman" w:hAnsi="Arial" w:cs="Arial"/>
          <w:b/>
          <w:bCs/>
          <w:color w:val="FF0000"/>
          <w:sz w:val="18"/>
          <w:szCs w:val="18"/>
          <w:lang w:eastAsia="en-GB"/>
        </w:rPr>
        <w:t>by others</w:t>
      </w:r>
      <w:r w:rsidRPr="000555F0">
        <w:rPr>
          <w:rFonts w:ascii="Arial" w:eastAsia="Times New Roman" w:hAnsi="Arial" w:cs="Arial"/>
          <w:color w:val="FF0000"/>
          <w:sz w:val="18"/>
          <w:szCs w:val="18"/>
          <w:lang w:eastAsia="en-GB"/>
        </w:rPr>
        <w:t>).</w:t>
      </w:r>
    </w:p>
    <w:p w14:paraId="424C5A6D"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0635E4E3"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The Phase 2 maintenance plan doesn’t make any reference to headwalls, flow control features, chambers etc and should include all elements of the drainage system. While it is appreciated Highways and ICOSA may have their own requirements and methodology, a recommendation should still be put forward.</w:t>
      </w:r>
      <w:r w:rsidRPr="000555F0">
        <w:rPr>
          <w:rFonts w:ascii="Arial" w:eastAsia="Times New Roman" w:hAnsi="Arial" w:cs="Arial"/>
          <w:color w:val="FF0000"/>
          <w:sz w:val="18"/>
          <w:szCs w:val="18"/>
          <w:lang w:eastAsia="en-GB"/>
        </w:rPr>
        <w:t xml:space="preserve"> Paragraph 24 </w:t>
      </w:r>
      <w:proofErr w:type="spellStart"/>
      <w:r w:rsidRPr="000555F0">
        <w:rPr>
          <w:rFonts w:ascii="Arial" w:eastAsia="Times New Roman" w:hAnsi="Arial" w:cs="Arial"/>
          <w:color w:val="FF0000"/>
          <w:sz w:val="18"/>
          <w:szCs w:val="18"/>
          <w:lang w:eastAsia="en-GB"/>
        </w:rPr>
        <w:t>refered</w:t>
      </w:r>
      <w:proofErr w:type="spellEnd"/>
      <w:r w:rsidRPr="000555F0">
        <w:rPr>
          <w:rFonts w:ascii="Arial" w:eastAsia="Times New Roman" w:hAnsi="Arial" w:cs="Arial"/>
          <w:color w:val="FF0000"/>
          <w:sz w:val="18"/>
          <w:szCs w:val="18"/>
          <w:lang w:eastAsia="en-GB"/>
        </w:rPr>
        <w:t xml:space="preserve"> to</w:t>
      </w:r>
      <w:r w:rsidRPr="000555F0">
        <w:rPr>
          <w:rFonts w:ascii="Calibri" w:eastAsia="Times New Roman" w:hAnsi="Calibri" w:cs="Calibri"/>
          <w:color w:val="FF0000"/>
          <w:sz w:val="20"/>
          <w:szCs w:val="20"/>
          <w:lang w:eastAsia="en-GB"/>
        </w:rPr>
        <w:t> ‘</w:t>
      </w:r>
      <w:r w:rsidRPr="000555F0">
        <w:rPr>
          <w:rFonts w:ascii="Arial" w:eastAsia="Times New Roman" w:hAnsi="Arial" w:cs="Arial"/>
          <w:color w:val="FF0000"/>
          <w:sz w:val="18"/>
          <w:szCs w:val="18"/>
          <w:lang w:eastAsia="en-GB"/>
        </w:rPr>
        <w:t>inspect all inlets, outlets </w:t>
      </w:r>
      <w:r w:rsidRPr="000555F0">
        <w:rPr>
          <w:rFonts w:ascii="Arial" w:eastAsia="Times New Roman" w:hAnsi="Arial" w:cs="Arial"/>
          <w:i/>
          <w:iCs/>
          <w:color w:val="FF0000"/>
          <w:sz w:val="18"/>
          <w:szCs w:val="18"/>
          <w:lang w:eastAsia="en-GB"/>
        </w:rPr>
        <w:t>(aka headwalls)</w:t>
      </w:r>
      <w:r w:rsidRPr="000555F0">
        <w:rPr>
          <w:rFonts w:ascii="Arial" w:eastAsia="Times New Roman" w:hAnsi="Arial" w:cs="Arial"/>
          <w:color w:val="FF0000"/>
          <w:sz w:val="18"/>
          <w:szCs w:val="18"/>
          <w:lang w:eastAsia="en-GB"/>
        </w:rPr>
        <w:t>, control chambers, and outfall headwalls’ – ‘</w:t>
      </w:r>
      <w:r w:rsidRPr="000555F0">
        <w:rPr>
          <w:rFonts w:ascii="Arial" w:eastAsia="Times New Roman" w:hAnsi="Arial" w:cs="Arial"/>
          <w:b/>
          <w:bCs/>
          <w:color w:val="FF0000"/>
          <w:sz w:val="18"/>
          <w:szCs w:val="18"/>
          <w:lang w:eastAsia="en-GB"/>
        </w:rPr>
        <w:t>chambers</w:t>
      </w:r>
      <w:r w:rsidRPr="000555F0">
        <w:rPr>
          <w:rFonts w:ascii="Arial" w:eastAsia="Times New Roman" w:hAnsi="Arial" w:cs="Arial"/>
          <w:color w:val="FF0000"/>
          <w:sz w:val="18"/>
          <w:szCs w:val="18"/>
          <w:lang w:eastAsia="en-GB"/>
        </w:rPr>
        <w:t>’ and ‘</w:t>
      </w:r>
      <w:r w:rsidRPr="000555F0">
        <w:rPr>
          <w:rFonts w:ascii="Arial" w:eastAsia="Times New Roman" w:hAnsi="Arial" w:cs="Arial"/>
          <w:b/>
          <w:bCs/>
          <w:color w:val="FF0000"/>
          <w:sz w:val="18"/>
          <w:szCs w:val="18"/>
          <w:lang w:eastAsia="en-GB"/>
        </w:rPr>
        <w:t>gullies</w:t>
      </w:r>
      <w:r w:rsidRPr="000555F0">
        <w:rPr>
          <w:rFonts w:ascii="Arial" w:eastAsia="Times New Roman" w:hAnsi="Arial" w:cs="Arial"/>
          <w:color w:val="FF0000"/>
          <w:sz w:val="18"/>
          <w:szCs w:val="18"/>
          <w:lang w:eastAsia="en-GB"/>
        </w:rPr>
        <w:t>’ have been added to the attached revised File Note M434-FN20 Rev B (specifically paragraph 26).</w:t>
      </w:r>
      <w:r w:rsidRPr="000555F0">
        <w:rPr>
          <w:rFonts w:ascii="Arial" w:eastAsia="Times New Roman" w:hAnsi="Arial" w:cs="Arial"/>
          <w:color w:val="212121"/>
          <w:sz w:val="18"/>
          <w:szCs w:val="18"/>
          <w:lang w:eastAsia="en-GB"/>
        </w:rPr>
        <w:t>  </w:t>
      </w:r>
    </w:p>
    <w:p w14:paraId="5C9A9169"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In addition, there is no reference to the existing watercourses and culverts. It is critical that the plan details who is responsible for all watercourses within and directly adjacent to the site</w:t>
      </w:r>
      <w:r w:rsidRPr="000555F0">
        <w:rPr>
          <w:rFonts w:ascii="Calibri" w:eastAsia="Times New Roman" w:hAnsi="Calibri" w:cs="Calibri"/>
          <w:color w:val="212121"/>
          <w:sz w:val="22"/>
          <w:szCs w:val="22"/>
          <w:lang w:eastAsia="en-GB"/>
        </w:rPr>
        <w:t>.</w:t>
      </w:r>
      <w:r w:rsidRPr="000555F0">
        <w:rPr>
          <w:rFonts w:ascii="Arial" w:eastAsia="Times New Roman" w:hAnsi="Arial" w:cs="Arial"/>
          <w:color w:val="FF0000"/>
          <w:sz w:val="18"/>
          <w:szCs w:val="18"/>
          <w:lang w:eastAsia="en-GB"/>
        </w:rPr>
        <w:t xml:space="preserve"> Added Paragraphs 15 &amp; 16 to File Note M434-FN20 Rev B advise that the LLFA are responsible for the existing ditches and culverts, and the EA for the </w:t>
      </w:r>
      <w:proofErr w:type="spellStart"/>
      <w:r w:rsidRPr="000555F0">
        <w:rPr>
          <w:rFonts w:ascii="Arial" w:eastAsia="Times New Roman" w:hAnsi="Arial" w:cs="Arial"/>
          <w:color w:val="FF0000"/>
          <w:sz w:val="18"/>
          <w:szCs w:val="18"/>
          <w:lang w:eastAsia="en-GB"/>
        </w:rPr>
        <w:t>Moorgreen</w:t>
      </w:r>
      <w:proofErr w:type="spellEnd"/>
      <w:r w:rsidRPr="000555F0">
        <w:rPr>
          <w:rFonts w:ascii="Arial" w:eastAsia="Times New Roman" w:hAnsi="Arial" w:cs="Arial"/>
          <w:color w:val="FF0000"/>
          <w:sz w:val="18"/>
          <w:szCs w:val="18"/>
          <w:lang w:eastAsia="en-GB"/>
        </w:rPr>
        <w:t xml:space="preserve"> Stream.</w:t>
      </w:r>
    </w:p>
    <w:p w14:paraId="30C944C8"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34608C1E"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76EC1E1B"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Despite asking, the phase 2 submission doesn’t include a technical note explaining the proposal and demonstrating compliance with the outline strategy but they have provided one for phase 3.</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The PFA document M380-FN36 Issue 2 was issued to discharge Conditions 11 (the whole of Phase 2) &amp; 13 (Phases 2A &amp; 2C) for planning application DC/21/91472. Phase 3 already provided.</w:t>
      </w:r>
    </w:p>
    <w:p w14:paraId="5B4BEF63"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0B2B934B"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The calculations have not been submitted for phase 2 – just the 15 / 30min storm which are using a different methodology (FSR rather than FEH) than previous calculations without any explanation or justification</w:t>
      </w:r>
      <w:r w:rsidRPr="000555F0">
        <w:rPr>
          <w:rFonts w:ascii="Calibri" w:eastAsia="Times New Roman" w:hAnsi="Calibri" w:cs="Calibri"/>
          <w:color w:val="212121"/>
          <w:sz w:val="22"/>
          <w:szCs w:val="22"/>
          <w:lang w:eastAsia="en-GB"/>
        </w:rPr>
        <w:t> </w:t>
      </w:r>
      <w:r w:rsidRPr="000555F0">
        <w:rPr>
          <w:rFonts w:ascii="Arial" w:eastAsia="Times New Roman" w:hAnsi="Arial" w:cs="Arial"/>
          <w:color w:val="FF0000"/>
          <w:sz w:val="18"/>
          <w:szCs w:val="18"/>
          <w:lang w:eastAsia="en-GB"/>
        </w:rPr>
        <w:t>(as justified in our email dated 27/07/23, regarding Phases 3B, 3C &amp; 3D – attached; the same justification applies to Phase 2) </w:t>
      </w:r>
      <w:r w:rsidRPr="000555F0">
        <w:rPr>
          <w:rFonts w:ascii="Calibri" w:eastAsia="Times New Roman" w:hAnsi="Calibri" w:cs="Calibri"/>
          <w:i/>
          <w:iCs/>
          <w:color w:val="212121"/>
          <w:sz w:val="22"/>
          <w:szCs w:val="22"/>
          <w:lang w:eastAsia="en-GB"/>
        </w:rPr>
        <w:t>although I can’t see the previous calculations on the planning portal although I’m sure I’ve reviewed them. The calculations for the longer storm durations need to be uploaded so they can be reviewed.</w:t>
      </w:r>
      <w:r w:rsidRPr="000555F0">
        <w:rPr>
          <w:rFonts w:ascii="Arial" w:eastAsia="Times New Roman" w:hAnsi="Arial" w:cs="Arial"/>
          <w:color w:val="FF0000"/>
          <w:sz w:val="18"/>
          <w:szCs w:val="18"/>
          <w:lang w:eastAsia="en-GB"/>
        </w:rPr>
        <w:t> Please refer to PFA document M380-FN36 Issue 2 for the previous calculations – it is to be read in conjunction with the 15/30 min storms that were subsequently requested (</w:t>
      </w:r>
      <w:r w:rsidRPr="000555F0">
        <w:rPr>
          <w:rFonts w:ascii="Arial" w:eastAsia="Times New Roman" w:hAnsi="Arial" w:cs="Arial"/>
          <w:i/>
          <w:iCs/>
          <w:color w:val="FF0000"/>
          <w:sz w:val="18"/>
          <w:szCs w:val="18"/>
          <w:lang w:eastAsia="en-GB"/>
        </w:rPr>
        <w:t>M380-Catchment C&amp;D FSR 15 &amp; 30 PDF Output</w:t>
      </w:r>
      <w:r w:rsidRPr="000555F0">
        <w:rPr>
          <w:rFonts w:ascii="Arial" w:eastAsia="Times New Roman" w:hAnsi="Arial" w:cs="Arial"/>
          <w:color w:val="FF0000"/>
          <w:sz w:val="18"/>
          <w:szCs w:val="18"/>
          <w:lang w:eastAsia="en-GB"/>
        </w:rPr>
        <w:t> also attached).</w:t>
      </w:r>
    </w:p>
    <w:p w14:paraId="21BE4E0F"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The calculations for phase 3 appear to be suitable. </w:t>
      </w:r>
      <w:r w:rsidRPr="000555F0">
        <w:rPr>
          <w:rFonts w:ascii="Arial" w:eastAsia="Times New Roman" w:hAnsi="Arial" w:cs="Arial"/>
          <w:color w:val="FF0000"/>
          <w:sz w:val="18"/>
          <w:szCs w:val="18"/>
          <w:lang w:eastAsia="en-GB"/>
        </w:rPr>
        <w:t>No further action.</w:t>
      </w:r>
    </w:p>
    <w:p w14:paraId="1CC55690"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lastRenderedPageBreak/>
        <w:t> </w:t>
      </w:r>
    </w:p>
    <w:p w14:paraId="5996A63B"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Which phase are the basins linked to. One drawing (can’t find the reference now) I’m sure said phase 3 but all the information has been submitted under phase 2. If this could be clarified it would be appreciated and I will also need information on when they will be constructed and operational in relation to the phases so we have confidence the downstream network is in place.</w:t>
      </w:r>
      <w:r w:rsidRPr="000555F0">
        <w:rPr>
          <w:rFonts w:ascii="Arial" w:eastAsia="Times New Roman" w:hAnsi="Arial" w:cs="Arial"/>
          <w:color w:val="FF0000"/>
          <w:sz w:val="18"/>
          <w:szCs w:val="18"/>
          <w:lang w:eastAsia="en-GB"/>
        </w:rPr>
        <w:t xml:space="preserve"> Phase 2 is provided for by Basin C. Phases 3E – 3H drain into Basin D, which in turn flows into Basin C, utilising the same outfall pipe to the </w:t>
      </w:r>
      <w:proofErr w:type="spellStart"/>
      <w:r w:rsidRPr="000555F0">
        <w:rPr>
          <w:rFonts w:ascii="Arial" w:eastAsia="Times New Roman" w:hAnsi="Arial" w:cs="Arial"/>
          <w:color w:val="FF0000"/>
          <w:sz w:val="18"/>
          <w:szCs w:val="18"/>
          <w:lang w:eastAsia="en-GB"/>
        </w:rPr>
        <w:t>Moorgreen</w:t>
      </w:r>
      <w:proofErr w:type="spellEnd"/>
      <w:r w:rsidRPr="000555F0">
        <w:rPr>
          <w:rFonts w:ascii="Arial" w:eastAsia="Times New Roman" w:hAnsi="Arial" w:cs="Arial"/>
          <w:color w:val="FF0000"/>
          <w:sz w:val="18"/>
          <w:szCs w:val="18"/>
          <w:lang w:eastAsia="en-GB"/>
        </w:rPr>
        <w:t xml:space="preserve"> Stream. Phase 3D also utilises the </w:t>
      </w:r>
      <w:proofErr w:type="spellStart"/>
      <w:r w:rsidRPr="000555F0">
        <w:rPr>
          <w:rFonts w:ascii="Arial" w:eastAsia="Times New Roman" w:hAnsi="Arial" w:cs="Arial"/>
          <w:color w:val="FF0000"/>
          <w:sz w:val="18"/>
          <w:szCs w:val="18"/>
          <w:lang w:eastAsia="en-GB"/>
        </w:rPr>
        <w:t>Moorgreen</w:t>
      </w:r>
      <w:proofErr w:type="spellEnd"/>
      <w:r w:rsidRPr="000555F0">
        <w:rPr>
          <w:rFonts w:ascii="Arial" w:eastAsia="Times New Roman" w:hAnsi="Arial" w:cs="Arial"/>
          <w:color w:val="FF0000"/>
          <w:sz w:val="18"/>
          <w:szCs w:val="18"/>
          <w:lang w:eastAsia="en-GB"/>
        </w:rPr>
        <w:t xml:space="preserve"> Stream outfall pipe.</w:t>
      </w:r>
    </w:p>
    <w:p w14:paraId="03741010"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1698D523"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The water quality elements have been described using the treatment train methodology rather than the simple index approach. It is likely that there is sufficient treatment given the swales and balancing ponds so if your officers are satisfied then I wouldn’t object but for completeness I would recommend including the assessment for the simple index approach.</w:t>
      </w:r>
      <w:r w:rsidRPr="000555F0">
        <w:rPr>
          <w:rFonts w:ascii="Arial" w:eastAsia="Times New Roman" w:hAnsi="Arial" w:cs="Arial"/>
          <w:color w:val="FF0000"/>
          <w:sz w:val="18"/>
          <w:szCs w:val="18"/>
          <w:lang w:eastAsia="en-GB"/>
        </w:rPr>
        <w:t> The treatment train methodology was accepted for all previously submitted Phases.</w:t>
      </w:r>
    </w:p>
    <w:p w14:paraId="00355059"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color w:val="212121"/>
          <w:sz w:val="22"/>
          <w:szCs w:val="22"/>
          <w:lang w:eastAsia="en-GB"/>
        </w:rPr>
        <w:t> </w:t>
      </w:r>
    </w:p>
    <w:p w14:paraId="18581564"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Apologies for the long email. I don’t think the submission is far off but we do need to make sure it is consistent between the different phases.</w:t>
      </w:r>
    </w:p>
    <w:p w14:paraId="06395382"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 </w:t>
      </w:r>
    </w:p>
    <w:p w14:paraId="60454A38"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Regards</w:t>
      </w:r>
    </w:p>
    <w:p w14:paraId="5D3D27E1" w14:textId="77777777" w:rsidR="000555F0" w:rsidRPr="000555F0" w:rsidRDefault="000555F0" w:rsidP="000555F0">
      <w:pPr>
        <w:rPr>
          <w:rFonts w:ascii="Calibri" w:eastAsia="Times New Roman" w:hAnsi="Calibri" w:cs="Calibri"/>
          <w:color w:val="212121"/>
          <w:sz w:val="20"/>
          <w:szCs w:val="20"/>
          <w:lang w:eastAsia="en-GB"/>
        </w:rPr>
      </w:pPr>
      <w:r w:rsidRPr="000555F0">
        <w:rPr>
          <w:rFonts w:ascii="Calibri" w:eastAsia="Times New Roman" w:hAnsi="Calibri" w:cs="Calibri"/>
          <w:i/>
          <w:iCs/>
          <w:color w:val="212121"/>
          <w:sz w:val="22"/>
          <w:szCs w:val="22"/>
          <w:lang w:eastAsia="en-GB"/>
        </w:rPr>
        <w:t>Sarah’</w:t>
      </w:r>
    </w:p>
    <w:p w14:paraId="0B938B79" w14:textId="77777777" w:rsidR="000555F0" w:rsidRDefault="000555F0"/>
    <w:p w14:paraId="5A6C9F00" w14:textId="77777777" w:rsidR="000555F0" w:rsidRDefault="000555F0"/>
    <w:p w14:paraId="29800CDB" w14:textId="77777777" w:rsidR="000555F0" w:rsidRDefault="000555F0"/>
    <w:sectPr w:rsidR="000555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E0F6A"/>
    <w:multiLevelType w:val="multilevel"/>
    <w:tmpl w:val="2FF6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A01191"/>
    <w:multiLevelType w:val="multilevel"/>
    <w:tmpl w:val="3F6C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7674990">
    <w:abstractNumId w:val="0"/>
  </w:num>
  <w:num w:numId="2" w16cid:durableId="891379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5F0"/>
    <w:rsid w:val="000555F0"/>
    <w:rsid w:val="0052238A"/>
    <w:rsid w:val="007D0807"/>
    <w:rsid w:val="007E6536"/>
    <w:rsid w:val="00A70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D9E051"/>
  <w15:chartTrackingRefBased/>
  <w15:docId w15:val="{2AC51925-F347-5147-9722-D39A83AB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555F0"/>
  </w:style>
  <w:style w:type="paragraph" w:styleId="ListParagraph">
    <w:name w:val="List Paragraph"/>
    <w:basedOn w:val="Normal"/>
    <w:uiPriority w:val="34"/>
    <w:qFormat/>
    <w:rsid w:val="000555F0"/>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Bell</dc:creator>
  <cp:keywords/>
  <dc:description/>
  <cp:lastModifiedBy>Jack Bell</cp:lastModifiedBy>
  <cp:revision>1</cp:revision>
  <dcterms:created xsi:type="dcterms:W3CDTF">2023-11-17T12:02:00Z</dcterms:created>
  <dcterms:modified xsi:type="dcterms:W3CDTF">2023-11-17T13:11:00Z</dcterms:modified>
</cp:coreProperties>
</file>