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975D34" w:rsidRDefault="00975D34">
      <w:pPr>
        <w:rPr>
          <w:rFonts w:ascii="Arial" w:hAnsi="Arial"/>
          <w:b/>
          <w:sz w:val="28"/>
        </w:rPr>
      </w:pPr>
      <w:r>
        <w:rPr>
          <w:rFonts w:ascii="Arial" w:hAnsi="Arial"/>
          <w:b/>
          <w:sz w:val="28"/>
        </w:rPr>
        <w:t xml:space="preserve">H/26/101519 – </w:t>
      </w:r>
      <w:proofErr w:type="spellStart"/>
      <w:r>
        <w:rPr>
          <w:rFonts w:ascii="Arial" w:hAnsi="Arial"/>
          <w:b/>
          <w:sz w:val="28"/>
        </w:rPr>
        <w:t>Baytree</w:t>
      </w:r>
      <w:proofErr w:type="spellEnd"/>
      <w:r>
        <w:rPr>
          <w:rFonts w:ascii="Arial" w:hAnsi="Arial"/>
          <w:b/>
          <w:sz w:val="28"/>
        </w:rPr>
        <w:t xml:space="preserve"> House, 1 Grange Farm, Grange Road,</w:t>
      </w:r>
    </w:p>
    <w:p w:rsidR="00975D34" w:rsidRDefault="00975D34">
      <w:pPr>
        <w:rPr>
          <w:rFonts w:ascii="Arial" w:hAnsi="Arial"/>
          <w:b/>
          <w:sz w:val="28"/>
        </w:rPr>
      </w:pPr>
      <w:r>
        <w:rPr>
          <w:rFonts w:ascii="Arial" w:hAnsi="Arial"/>
          <w:b/>
          <w:sz w:val="28"/>
        </w:rPr>
        <w:t xml:space="preserve">                         </w:t>
      </w:r>
      <w:proofErr w:type="spellStart"/>
      <w:r>
        <w:rPr>
          <w:rFonts w:ascii="Arial" w:hAnsi="Arial"/>
          <w:b/>
          <w:sz w:val="28"/>
        </w:rPr>
        <w:t>Netley</w:t>
      </w:r>
      <w:proofErr w:type="spellEnd"/>
      <w:r>
        <w:rPr>
          <w:rFonts w:ascii="Arial" w:hAnsi="Arial"/>
          <w:b/>
          <w:sz w:val="28"/>
        </w:rPr>
        <w:t xml:space="preserve"> Abbey, SO31 5FF.</w:t>
      </w:r>
    </w:p>
    <w:p w:rsidR="00975D34" w:rsidRDefault="00975D34">
      <w:pPr>
        <w:rPr>
          <w:rFonts w:ascii="Arial" w:hAnsi="Arial"/>
          <w:b/>
          <w:sz w:val="28"/>
        </w:rPr>
      </w:pPr>
    </w:p>
    <w:p w:rsidR="00975D34" w:rsidRDefault="00975D34">
      <w:pPr>
        <w:rPr>
          <w:rFonts w:ascii="Arial" w:hAnsi="Arial"/>
          <w:b/>
        </w:rPr>
      </w:pPr>
      <w:r>
        <w:rPr>
          <w:rFonts w:ascii="Arial" w:hAnsi="Arial"/>
          <w:b/>
        </w:rPr>
        <w:t>Context.</w:t>
      </w:r>
    </w:p>
    <w:p w:rsidR="00975D34" w:rsidRDefault="00975D34">
      <w:pPr>
        <w:rPr>
          <w:rFonts w:ascii="Arial" w:hAnsi="Arial"/>
        </w:rPr>
      </w:pPr>
      <w:r>
        <w:rPr>
          <w:rFonts w:ascii="Arial" w:hAnsi="Arial"/>
        </w:rPr>
        <w:t xml:space="preserve">This building is immediately to the west of the front of </w:t>
      </w:r>
      <w:proofErr w:type="spellStart"/>
      <w:r>
        <w:rPr>
          <w:rFonts w:ascii="Arial" w:hAnsi="Arial"/>
        </w:rPr>
        <w:t>thelisted</w:t>
      </w:r>
      <w:proofErr w:type="spellEnd"/>
      <w:r>
        <w:rPr>
          <w:rFonts w:ascii="Arial" w:hAnsi="Arial"/>
        </w:rPr>
        <w:t xml:space="preserve"> </w:t>
      </w:r>
      <w:proofErr w:type="spellStart"/>
      <w:r>
        <w:rPr>
          <w:rFonts w:ascii="Arial" w:hAnsi="Arial"/>
        </w:rPr>
        <w:t>Gradell</w:t>
      </w:r>
      <w:proofErr w:type="spellEnd"/>
      <w:r>
        <w:rPr>
          <w:rFonts w:ascii="Arial" w:hAnsi="Arial"/>
        </w:rPr>
        <w:t xml:space="preserve"> </w:t>
      </w:r>
      <w:proofErr w:type="spellStart"/>
      <w:r>
        <w:rPr>
          <w:rFonts w:ascii="Arial" w:hAnsi="Arial"/>
        </w:rPr>
        <w:t>Netley</w:t>
      </w:r>
      <w:proofErr w:type="spellEnd"/>
      <w:r>
        <w:rPr>
          <w:rFonts w:ascii="Arial" w:hAnsi="Arial"/>
        </w:rPr>
        <w:t xml:space="preserve"> Grange, all within the top north-east arm of the </w:t>
      </w:r>
      <w:proofErr w:type="spellStart"/>
      <w:r>
        <w:rPr>
          <w:rFonts w:ascii="Arial" w:hAnsi="Arial"/>
        </w:rPr>
        <w:t>Netley</w:t>
      </w:r>
      <w:proofErr w:type="spellEnd"/>
      <w:r>
        <w:rPr>
          <w:rFonts w:ascii="Arial" w:hAnsi="Arial"/>
        </w:rPr>
        <w:t xml:space="preserve"> Abbey Conservation Area as designated in 1981.  The Grange is mainly 18</w:t>
      </w:r>
      <w:r w:rsidRPr="00975D34">
        <w:rPr>
          <w:rFonts w:ascii="Arial" w:hAnsi="Arial"/>
          <w:vertAlign w:val="superscript"/>
        </w:rPr>
        <w:t>th</w:t>
      </w:r>
      <w:r>
        <w:rPr>
          <w:rFonts w:ascii="Arial" w:hAnsi="Arial"/>
        </w:rPr>
        <w:t>. Century but of earlier origins, possibly monastic together with later additions too.</w:t>
      </w:r>
    </w:p>
    <w:p w:rsidR="00975D34" w:rsidRDefault="00975D34">
      <w:pPr>
        <w:rPr>
          <w:rFonts w:ascii="Arial" w:hAnsi="Arial"/>
        </w:rPr>
      </w:pPr>
    </w:p>
    <w:p w:rsidR="00975D34" w:rsidRDefault="00975D34">
      <w:pPr>
        <w:rPr>
          <w:rFonts w:ascii="Arial" w:hAnsi="Arial"/>
        </w:rPr>
      </w:pPr>
      <w:r>
        <w:rPr>
          <w:rFonts w:ascii="Arial" w:hAnsi="Arial"/>
        </w:rPr>
        <w:t xml:space="preserve">Known as The Grange when listed in 1983 it is now known as Grange Farm and has been divided into three properties with a further three built around it of which </w:t>
      </w:r>
      <w:proofErr w:type="spellStart"/>
      <w:r>
        <w:rPr>
          <w:rFonts w:ascii="Arial" w:hAnsi="Arial"/>
        </w:rPr>
        <w:t>Baytree</w:t>
      </w:r>
      <w:proofErr w:type="spellEnd"/>
      <w:r>
        <w:rPr>
          <w:rFonts w:ascii="Arial" w:hAnsi="Arial"/>
        </w:rPr>
        <w:t xml:space="preserve"> House is one.  Changes to this house therefore affect the setting of the main house, most particularly as it is directly in front of the original farmhouse.</w:t>
      </w:r>
    </w:p>
    <w:p w:rsidR="00975D34" w:rsidRDefault="00975D34">
      <w:pPr>
        <w:rPr>
          <w:rFonts w:ascii="Arial" w:hAnsi="Arial"/>
        </w:rPr>
      </w:pPr>
    </w:p>
    <w:p w:rsidR="00975D34" w:rsidRDefault="00975D34">
      <w:pPr>
        <w:rPr>
          <w:rFonts w:ascii="Arial" w:hAnsi="Arial"/>
          <w:b/>
        </w:rPr>
      </w:pPr>
      <w:r>
        <w:rPr>
          <w:rFonts w:ascii="Arial" w:hAnsi="Arial"/>
          <w:b/>
        </w:rPr>
        <w:t>The Proposal.</w:t>
      </w:r>
    </w:p>
    <w:p w:rsidR="004C2158" w:rsidRDefault="00975D34">
      <w:pPr>
        <w:rPr>
          <w:rFonts w:ascii="Arial" w:hAnsi="Arial"/>
        </w:rPr>
      </w:pPr>
      <w:r>
        <w:rPr>
          <w:rFonts w:ascii="Arial" w:hAnsi="Arial"/>
        </w:rPr>
        <w:t xml:space="preserve">The majority of the works are internal to provide a one </w:t>
      </w:r>
      <w:proofErr w:type="spellStart"/>
      <w:r>
        <w:rPr>
          <w:rFonts w:ascii="Arial" w:hAnsi="Arial"/>
        </w:rPr>
        <w:t>bedroomed</w:t>
      </w:r>
      <w:proofErr w:type="spellEnd"/>
      <w:r>
        <w:rPr>
          <w:rFonts w:ascii="Arial" w:hAnsi="Arial"/>
        </w:rPr>
        <w:t xml:space="preserve"> annexe at the east end and change the main body of the building from four to six bedrooms within the existing envelope.</w:t>
      </w:r>
      <w:r w:rsidR="004C2158">
        <w:rPr>
          <w:rFonts w:ascii="Arial" w:hAnsi="Arial"/>
        </w:rPr>
        <w:t xml:space="preserve">  </w:t>
      </w:r>
      <w:proofErr w:type="gramStart"/>
      <w:r w:rsidR="004C2158">
        <w:rPr>
          <w:rFonts w:ascii="Arial" w:hAnsi="Arial"/>
        </w:rPr>
        <w:t>This in itself is no problem from an architectural and conservation perspective, nor are</w:t>
      </w:r>
      <w:proofErr w:type="gramEnd"/>
      <w:r w:rsidR="004C2158">
        <w:rPr>
          <w:rFonts w:ascii="Arial" w:hAnsi="Arial"/>
        </w:rPr>
        <w:t xml:space="preserve"> the six new roof-lights, or fenestration changes.</w:t>
      </w:r>
    </w:p>
    <w:p w:rsidR="004C2158" w:rsidRDefault="004C2158">
      <w:pPr>
        <w:rPr>
          <w:rFonts w:ascii="Arial" w:hAnsi="Arial"/>
        </w:rPr>
      </w:pPr>
    </w:p>
    <w:p w:rsidR="00AE62C8" w:rsidRDefault="004C2158">
      <w:pPr>
        <w:rPr>
          <w:rFonts w:ascii="Arial" w:hAnsi="Arial"/>
        </w:rPr>
      </w:pPr>
      <w:r>
        <w:rPr>
          <w:rFonts w:ascii="Arial" w:hAnsi="Arial"/>
        </w:rPr>
        <w:t xml:space="preserve">The only extension is that proposed on the </w:t>
      </w:r>
      <w:proofErr w:type="gramStart"/>
      <w:r>
        <w:rPr>
          <w:rFonts w:ascii="Arial" w:hAnsi="Arial"/>
        </w:rPr>
        <w:t>north-east</w:t>
      </w:r>
      <w:proofErr w:type="gramEnd"/>
      <w:r>
        <w:rPr>
          <w:rFonts w:ascii="Arial" w:hAnsi="Arial"/>
        </w:rPr>
        <w:t xml:space="preserve"> elevation, facing the original farmhouse.  It is to be of traditional materials and construction to match the host building so should tie in seamlessly, but in order for this to be achieved it is important that the lead flashings where the roof meets </w:t>
      </w:r>
      <w:proofErr w:type="spellStart"/>
      <w:r>
        <w:rPr>
          <w:rFonts w:ascii="Arial" w:hAnsi="Arial"/>
        </w:rPr>
        <w:t>themain</w:t>
      </w:r>
      <w:proofErr w:type="spellEnd"/>
      <w:r>
        <w:rPr>
          <w:rFonts w:ascii="Arial" w:hAnsi="Arial"/>
        </w:rPr>
        <w:t xml:space="preserve"> building are of a traditional nature and not the overly deep individual ones exemplified by Type X </w:t>
      </w:r>
      <w:proofErr w:type="spellStart"/>
      <w:r>
        <w:rPr>
          <w:rFonts w:ascii="Arial" w:hAnsi="Arial"/>
        </w:rPr>
        <w:t>Cavitray</w:t>
      </w:r>
      <w:proofErr w:type="spellEnd"/>
      <w:r>
        <w:rPr>
          <w:rFonts w:ascii="Arial" w:hAnsi="Arial"/>
        </w:rPr>
        <w:t xml:space="preserve"> made by Cavity Trays Ltd for example which is a combined product of cavity tray and flashing. </w:t>
      </w:r>
    </w:p>
    <w:p w:rsidR="00AE62C8" w:rsidRDefault="00AE62C8">
      <w:pPr>
        <w:rPr>
          <w:rFonts w:ascii="Arial" w:hAnsi="Arial"/>
        </w:rPr>
      </w:pPr>
    </w:p>
    <w:p w:rsidR="00AE62C8" w:rsidRDefault="00AE62C8">
      <w:pPr>
        <w:rPr>
          <w:rFonts w:ascii="Arial" w:hAnsi="Arial"/>
          <w:b/>
        </w:rPr>
      </w:pPr>
      <w:r>
        <w:rPr>
          <w:rFonts w:ascii="Arial" w:hAnsi="Arial"/>
          <w:b/>
        </w:rPr>
        <w:t>Conclusion.</w:t>
      </w:r>
    </w:p>
    <w:p w:rsidR="00D40F7F" w:rsidRDefault="00AE62C8">
      <w:pPr>
        <w:rPr>
          <w:rFonts w:ascii="Arial" w:hAnsi="Arial"/>
        </w:rPr>
      </w:pPr>
      <w:r>
        <w:rPr>
          <w:rFonts w:ascii="Arial" w:hAnsi="Arial"/>
        </w:rPr>
        <w:t xml:space="preserve">The proposed new extension being so close to and facing the front of The Grange itself will affect the setting of this listed heritage asset, so it is imperative to have the correct detailing of </w:t>
      </w:r>
      <w:r w:rsidR="00D40F7F">
        <w:rPr>
          <w:rFonts w:ascii="Arial" w:hAnsi="Arial"/>
        </w:rPr>
        <w:t>the new roof abutment with soakers and a stepped flashing.  The deep shadow formed by the log store at the front will help to lessen the extensions impact.  No objection.</w:t>
      </w:r>
    </w:p>
    <w:p w:rsidR="00D40F7F" w:rsidRDefault="00D40F7F">
      <w:pPr>
        <w:rPr>
          <w:rFonts w:ascii="Arial" w:hAnsi="Arial"/>
        </w:rPr>
      </w:pPr>
    </w:p>
    <w:p w:rsidR="00D40F7F" w:rsidRDefault="00D40F7F">
      <w:pPr>
        <w:rPr>
          <w:rFonts w:ascii="Arial" w:hAnsi="Arial"/>
        </w:rPr>
      </w:pPr>
      <w:r>
        <w:rPr>
          <w:rFonts w:ascii="Arial" w:hAnsi="Arial"/>
        </w:rPr>
        <w:t>03.07.2026.</w:t>
      </w:r>
    </w:p>
    <w:p w:rsidR="00D40F7F" w:rsidRDefault="00D40F7F">
      <w:pPr>
        <w:rPr>
          <w:rFonts w:ascii="Arial" w:hAnsi="Arial"/>
        </w:rPr>
      </w:pPr>
    </w:p>
    <w:p w:rsidR="005B5C39" w:rsidRDefault="005B5C39" w:rsidP="005B5C39">
      <w:pPr>
        <w:ind w:right="-489"/>
        <w:rPr>
          <w:rFonts w:ascii="Arial" w:hAnsi="Arial"/>
          <w:color w:val="666666"/>
          <w:sz w:val="15"/>
          <w:szCs w:val="15"/>
          <w:shd w:val="clear" w:color="auto" w:fill="FFFFFF"/>
        </w:rPr>
      </w:pPr>
      <w:r w:rsidRPr="0073094F">
        <w:rPr>
          <w:rFonts w:ascii="Arial" w:hAnsi="Arial"/>
          <w:b/>
          <w:color w:val="0000FF"/>
          <w:shd w:val="clear" w:color="auto" w:fill="FFFFFF"/>
        </w:rPr>
        <w:t>Tim J S Dyer,</w:t>
      </w:r>
      <w:r w:rsidRPr="0073094F">
        <w:rPr>
          <w:rFonts w:ascii="Arial" w:hAnsi="Arial"/>
          <w:color w:val="0000FF"/>
        </w:rPr>
        <w:t> </w:t>
      </w:r>
      <w:proofErr w:type="spellStart"/>
      <w:r w:rsidRPr="0073094F">
        <w:rPr>
          <w:rFonts w:ascii="Arial" w:hAnsi="Arial"/>
          <w:color w:val="666666"/>
          <w:sz w:val="15"/>
          <w:szCs w:val="15"/>
          <w:shd w:val="clear" w:color="auto" w:fill="FFFFFF"/>
        </w:rPr>
        <w:t>B.Sc.</w:t>
      </w:r>
      <w:proofErr w:type="gramStart"/>
      <w:r w:rsidRPr="0073094F">
        <w:rPr>
          <w:rFonts w:ascii="Arial" w:hAnsi="Arial"/>
          <w:color w:val="666666"/>
          <w:sz w:val="15"/>
          <w:szCs w:val="15"/>
          <w:shd w:val="clear" w:color="auto" w:fill="FFFFFF"/>
        </w:rPr>
        <w:t>,Dip.Arch</w:t>
      </w:r>
      <w:proofErr w:type="spellEnd"/>
      <w:proofErr w:type="gramEnd"/>
      <w:r w:rsidRPr="0073094F">
        <w:rPr>
          <w:rFonts w:ascii="Arial" w:hAnsi="Arial"/>
          <w:color w:val="666666"/>
          <w:sz w:val="15"/>
          <w:szCs w:val="15"/>
          <w:shd w:val="clear" w:color="auto" w:fill="FFFFFF"/>
        </w:rPr>
        <w:t>.(</w:t>
      </w:r>
      <w:proofErr w:type="spellStart"/>
      <w:r w:rsidRPr="0073094F">
        <w:rPr>
          <w:rFonts w:ascii="Arial" w:hAnsi="Arial"/>
          <w:color w:val="666666"/>
          <w:sz w:val="15"/>
          <w:szCs w:val="15"/>
          <w:shd w:val="clear" w:color="auto" w:fill="FFFFFF"/>
        </w:rPr>
        <w:t>Birm</w:t>
      </w:r>
      <w:proofErr w:type="spellEnd"/>
      <w:r w:rsidRPr="0073094F">
        <w:rPr>
          <w:rFonts w:ascii="Arial" w:hAnsi="Arial"/>
          <w:color w:val="666666"/>
          <w:sz w:val="15"/>
          <w:szCs w:val="15"/>
          <w:shd w:val="clear" w:color="auto" w:fill="FFFFFF"/>
        </w:rPr>
        <w:t xml:space="preserve">), </w:t>
      </w:r>
      <w:proofErr w:type="spellStart"/>
      <w:r w:rsidRPr="0073094F">
        <w:rPr>
          <w:rFonts w:ascii="Arial" w:hAnsi="Arial"/>
          <w:color w:val="666666"/>
          <w:sz w:val="15"/>
          <w:szCs w:val="15"/>
          <w:shd w:val="clear" w:color="auto" w:fill="FFFFFF"/>
        </w:rPr>
        <w:t>Grad.Dip.Conservation</w:t>
      </w:r>
      <w:proofErr w:type="spellEnd"/>
      <w:r w:rsidRPr="0073094F">
        <w:rPr>
          <w:rFonts w:ascii="Arial" w:hAnsi="Arial"/>
          <w:color w:val="666666"/>
          <w:sz w:val="15"/>
          <w:szCs w:val="15"/>
          <w:shd w:val="clear" w:color="auto" w:fill="FFFFFF"/>
        </w:rPr>
        <w:t>(AA), RIBA.</w:t>
      </w:r>
    </w:p>
    <w:p w:rsidR="005B5C39" w:rsidRPr="0073094F" w:rsidRDefault="005B5C39" w:rsidP="005B5C39">
      <w:pPr>
        <w:ind w:right="-489"/>
        <w:rPr>
          <w:rFonts w:ascii="Arial" w:hAnsi="Arial"/>
        </w:rPr>
      </w:pPr>
      <w:proofErr w:type="gramStart"/>
      <w:r>
        <w:rPr>
          <w:rFonts w:ascii="Arial" w:hAnsi="Arial"/>
          <w:color w:val="0000FF"/>
          <w:sz w:val="15"/>
          <w:szCs w:val="15"/>
        </w:rPr>
        <w:t>B</w:t>
      </w:r>
      <w:r w:rsidRPr="0073094F">
        <w:rPr>
          <w:rFonts w:ascii="Arial" w:hAnsi="Arial"/>
          <w:color w:val="0000FF"/>
          <w:sz w:val="15"/>
          <w:szCs w:val="15"/>
        </w:rPr>
        <w:t>uilt Heritage Consultant.</w:t>
      </w:r>
      <w:proofErr w:type="gramEnd"/>
      <w:r w:rsidRPr="0073094F">
        <w:rPr>
          <w:rFonts w:ascii="Arial" w:hAnsi="Arial"/>
          <w:color w:val="222222"/>
        </w:rPr>
        <w:t> </w:t>
      </w:r>
    </w:p>
    <w:p w:rsidR="00975D34" w:rsidRPr="00AE62C8" w:rsidRDefault="00D40F7F">
      <w:pPr>
        <w:rPr>
          <w:rFonts w:ascii="Arial" w:hAnsi="Arial"/>
        </w:rPr>
      </w:pPr>
      <w:r>
        <w:rPr>
          <w:rFonts w:ascii="Arial" w:hAnsi="Arial"/>
        </w:rPr>
        <w:t xml:space="preserve"> </w:t>
      </w:r>
      <w:r w:rsidR="00AE62C8">
        <w:rPr>
          <w:rFonts w:ascii="Arial" w:hAnsi="Arial"/>
        </w:rPr>
        <w:t xml:space="preserve"> </w:t>
      </w:r>
    </w:p>
    <w:sectPr w:rsidR="00975D34" w:rsidRPr="00AE62C8" w:rsidSect="00975D34">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975D34"/>
    <w:rsid w:val="004C2158"/>
    <w:rsid w:val="005B5C39"/>
    <w:rsid w:val="00975D34"/>
    <w:rsid w:val="00AE62C8"/>
    <w:rsid w:val="00D40F7F"/>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6F5"/>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2026-07-03T14:39:00Z</dcterms:created>
  <dcterms:modified xsi:type="dcterms:W3CDTF">2026-07-03T14:39:00Z</dcterms:modified>
</cp:coreProperties>
</file>