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B23CA" w14:textId="77777777" w:rsidR="00344857" w:rsidRPr="00FF0490" w:rsidRDefault="00344857" w:rsidP="00344857">
      <w:pPr>
        <w:ind w:left="-1276" w:firstLine="1276"/>
        <w:jc w:val="center"/>
        <w:rPr>
          <w:b/>
          <w:bCs/>
          <w:sz w:val="32"/>
          <w:szCs w:val="32"/>
        </w:rPr>
      </w:pPr>
      <w:r w:rsidRPr="00FF0490">
        <w:rPr>
          <w:b/>
          <w:bCs/>
          <w:sz w:val="32"/>
          <w:szCs w:val="32"/>
        </w:rPr>
        <w:t>LAND LYING</w:t>
      </w:r>
      <w:r>
        <w:rPr>
          <w:b/>
          <w:bCs/>
          <w:sz w:val="32"/>
          <w:szCs w:val="32"/>
        </w:rPr>
        <w:t xml:space="preserve"> </w:t>
      </w:r>
      <w:r w:rsidRPr="00FF0490">
        <w:rPr>
          <w:b/>
          <w:bCs/>
          <w:sz w:val="32"/>
          <w:szCs w:val="32"/>
        </w:rPr>
        <w:t>TO THE EAST OF</w:t>
      </w:r>
    </w:p>
    <w:p w14:paraId="22E8AE5D" w14:textId="77777777" w:rsidR="00344857" w:rsidRPr="00FF0490" w:rsidRDefault="00344857" w:rsidP="00344857">
      <w:pPr>
        <w:jc w:val="center"/>
        <w:rPr>
          <w:b/>
          <w:bCs/>
          <w:sz w:val="32"/>
          <w:szCs w:val="32"/>
        </w:rPr>
      </w:pPr>
      <w:r w:rsidRPr="00FF0490">
        <w:rPr>
          <w:b/>
          <w:bCs/>
          <w:sz w:val="32"/>
          <w:szCs w:val="32"/>
        </w:rPr>
        <w:t>32 HILLVIEW MANOR PARK</w:t>
      </w:r>
    </w:p>
    <w:p w14:paraId="5375DF2E" w14:textId="77777777" w:rsidR="00344857" w:rsidRPr="00FF0490" w:rsidRDefault="00344857" w:rsidP="00344857">
      <w:pPr>
        <w:ind w:right="-1440"/>
        <w:jc w:val="center"/>
        <w:rPr>
          <w:b/>
          <w:bCs/>
          <w:sz w:val="32"/>
          <w:szCs w:val="32"/>
        </w:rPr>
      </w:pPr>
      <w:r w:rsidRPr="00FF0490">
        <w:rPr>
          <w:b/>
          <w:bCs/>
          <w:sz w:val="32"/>
          <w:szCs w:val="32"/>
        </w:rPr>
        <w:t>WINCHESTER ROAD</w:t>
      </w:r>
    </w:p>
    <w:p w14:paraId="6BFFC6CB" w14:textId="77777777" w:rsidR="00344857" w:rsidRPr="00FF0490" w:rsidRDefault="00344857" w:rsidP="00344857">
      <w:pPr>
        <w:jc w:val="center"/>
        <w:rPr>
          <w:b/>
          <w:bCs/>
          <w:sz w:val="32"/>
          <w:szCs w:val="32"/>
        </w:rPr>
      </w:pPr>
      <w:r w:rsidRPr="00FF0490">
        <w:rPr>
          <w:b/>
          <w:bCs/>
          <w:sz w:val="32"/>
          <w:szCs w:val="32"/>
        </w:rPr>
        <w:t>FAIR OAK</w:t>
      </w:r>
    </w:p>
    <w:p w14:paraId="4E7A46D7" w14:textId="77777777" w:rsidR="00344857" w:rsidRPr="00FF0490" w:rsidRDefault="00344857" w:rsidP="00344857">
      <w:pPr>
        <w:jc w:val="center"/>
        <w:rPr>
          <w:b/>
          <w:bCs/>
          <w:sz w:val="32"/>
          <w:szCs w:val="32"/>
        </w:rPr>
      </w:pPr>
      <w:r w:rsidRPr="00FF0490">
        <w:rPr>
          <w:b/>
          <w:bCs/>
          <w:sz w:val="32"/>
          <w:szCs w:val="32"/>
        </w:rPr>
        <w:t>SO50 7JF</w:t>
      </w:r>
    </w:p>
    <w:p w14:paraId="43FC91ED" w14:textId="77777777" w:rsidR="00344857" w:rsidRPr="00FF0490" w:rsidRDefault="00344857" w:rsidP="00344857">
      <w:pPr>
        <w:jc w:val="center"/>
        <w:rPr>
          <w:b/>
          <w:bCs/>
          <w:sz w:val="32"/>
          <w:szCs w:val="32"/>
        </w:rPr>
      </w:pPr>
    </w:p>
    <w:p w14:paraId="4B77198C" w14:textId="77777777" w:rsidR="00344857" w:rsidRPr="00FF0490" w:rsidRDefault="00344857" w:rsidP="00344857">
      <w:pPr>
        <w:jc w:val="center"/>
        <w:rPr>
          <w:b/>
          <w:bCs/>
          <w:sz w:val="32"/>
          <w:szCs w:val="32"/>
        </w:rPr>
      </w:pPr>
    </w:p>
    <w:p w14:paraId="331BF1A4" w14:textId="77777777" w:rsidR="00344857" w:rsidRPr="00FF0490" w:rsidRDefault="00344857" w:rsidP="00344857">
      <w:pPr>
        <w:spacing w:before="360" w:after="100" w:afterAutospacing="1"/>
        <w:ind w:left="283" w:right="-57"/>
        <w:jc w:val="center"/>
        <w:rPr>
          <w:b/>
          <w:bCs/>
          <w:sz w:val="32"/>
          <w:szCs w:val="32"/>
        </w:rPr>
      </w:pPr>
      <w:r w:rsidRPr="00FF0490">
        <w:rPr>
          <w:b/>
          <w:bCs/>
          <w:sz w:val="32"/>
          <w:szCs w:val="32"/>
        </w:rPr>
        <w:t xml:space="preserve">STATEMENT </w:t>
      </w:r>
    </w:p>
    <w:p w14:paraId="5211FBFD" w14:textId="77777777" w:rsidR="00344857" w:rsidRPr="00FF0490" w:rsidRDefault="00344857" w:rsidP="00344857">
      <w:pPr>
        <w:jc w:val="center"/>
        <w:rPr>
          <w:b/>
          <w:bCs/>
          <w:sz w:val="32"/>
          <w:szCs w:val="32"/>
        </w:rPr>
      </w:pPr>
      <w:r w:rsidRPr="00FF0490">
        <w:rPr>
          <w:b/>
          <w:bCs/>
          <w:sz w:val="32"/>
          <w:szCs w:val="32"/>
        </w:rPr>
        <w:t>OF</w:t>
      </w:r>
    </w:p>
    <w:p w14:paraId="16FD09D4" w14:textId="77777777" w:rsidR="00344857" w:rsidRPr="00FF0490" w:rsidRDefault="00344857" w:rsidP="00344857">
      <w:pPr>
        <w:jc w:val="center"/>
        <w:rPr>
          <w:b/>
          <w:bCs/>
          <w:sz w:val="32"/>
          <w:szCs w:val="32"/>
        </w:rPr>
      </w:pPr>
      <w:r w:rsidRPr="00FF0490">
        <w:rPr>
          <w:b/>
          <w:bCs/>
          <w:sz w:val="32"/>
          <w:szCs w:val="32"/>
        </w:rPr>
        <w:t>AARON IRELAND.</w:t>
      </w:r>
    </w:p>
    <w:p w14:paraId="38F046ED" w14:textId="77777777" w:rsidR="00344857" w:rsidRDefault="00344857" w:rsidP="00344857">
      <w:pPr>
        <w:rPr>
          <w:b/>
          <w:bCs/>
          <w:sz w:val="32"/>
          <w:szCs w:val="32"/>
        </w:rPr>
      </w:pPr>
    </w:p>
    <w:p w14:paraId="79D77F86" w14:textId="77777777" w:rsidR="00344857" w:rsidRDefault="00344857" w:rsidP="00344857">
      <w:pPr>
        <w:rPr>
          <w:b/>
          <w:bCs/>
          <w:sz w:val="32"/>
          <w:szCs w:val="32"/>
        </w:rPr>
      </w:pPr>
    </w:p>
    <w:p w14:paraId="611B4220" w14:textId="77777777" w:rsidR="00344857" w:rsidRDefault="00344857" w:rsidP="00344857">
      <w:pPr>
        <w:rPr>
          <w:b/>
          <w:bCs/>
          <w:sz w:val="32"/>
          <w:szCs w:val="32"/>
        </w:rPr>
      </w:pPr>
    </w:p>
    <w:p w14:paraId="2E0EE869" w14:textId="77777777" w:rsidR="00344857" w:rsidRDefault="00344857" w:rsidP="00344857">
      <w:pPr>
        <w:rPr>
          <w:b/>
          <w:bCs/>
          <w:sz w:val="32"/>
          <w:szCs w:val="32"/>
        </w:rPr>
      </w:pPr>
    </w:p>
    <w:p w14:paraId="70E6554F" w14:textId="77777777" w:rsidR="00344857" w:rsidRDefault="00344857" w:rsidP="00344857">
      <w:pPr>
        <w:rPr>
          <w:b/>
          <w:bCs/>
          <w:sz w:val="32"/>
          <w:szCs w:val="32"/>
        </w:rPr>
      </w:pPr>
    </w:p>
    <w:p w14:paraId="3E22FB38" w14:textId="77777777" w:rsidR="00344857" w:rsidRDefault="00344857" w:rsidP="00344857">
      <w:pPr>
        <w:rPr>
          <w:b/>
          <w:bCs/>
          <w:sz w:val="32"/>
          <w:szCs w:val="32"/>
        </w:rPr>
      </w:pPr>
    </w:p>
    <w:p w14:paraId="7A4F9B0C" w14:textId="77777777" w:rsidR="00344857" w:rsidRDefault="00344857" w:rsidP="00344857">
      <w:pPr>
        <w:rPr>
          <w:b/>
          <w:bCs/>
          <w:sz w:val="32"/>
          <w:szCs w:val="32"/>
        </w:rPr>
      </w:pPr>
    </w:p>
    <w:p w14:paraId="113C3D35" w14:textId="77777777" w:rsidR="00344857" w:rsidRDefault="00344857" w:rsidP="00344857">
      <w:pPr>
        <w:rPr>
          <w:b/>
          <w:bCs/>
          <w:sz w:val="32"/>
          <w:szCs w:val="32"/>
        </w:rPr>
      </w:pPr>
    </w:p>
    <w:p w14:paraId="089CD65B" w14:textId="77777777" w:rsidR="00344857" w:rsidRDefault="00344857" w:rsidP="00344857">
      <w:pPr>
        <w:rPr>
          <w:b/>
          <w:bCs/>
          <w:sz w:val="32"/>
          <w:szCs w:val="32"/>
        </w:rPr>
      </w:pPr>
    </w:p>
    <w:p w14:paraId="14A3F16B" w14:textId="77777777" w:rsidR="00344857" w:rsidRDefault="00344857" w:rsidP="00344857">
      <w:pPr>
        <w:rPr>
          <w:b/>
          <w:bCs/>
          <w:sz w:val="32"/>
          <w:szCs w:val="32"/>
        </w:rPr>
      </w:pPr>
    </w:p>
    <w:p w14:paraId="4514CD22" w14:textId="77777777" w:rsidR="00344857" w:rsidRDefault="00344857" w:rsidP="00344857">
      <w:pPr>
        <w:rPr>
          <w:b/>
          <w:bCs/>
          <w:sz w:val="32"/>
          <w:szCs w:val="32"/>
        </w:rPr>
      </w:pPr>
    </w:p>
    <w:p w14:paraId="26C2C202" w14:textId="77777777" w:rsidR="00344857" w:rsidRDefault="00344857" w:rsidP="00344857">
      <w:pPr>
        <w:rPr>
          <w:b/>
          <w:bCs/>
          <w:sz w:val="32"/>
          <w:szCs w:val="32"/>
        </w:rPr>
      </w:pPr>
    </w:p>
    <w:p w14:paraId="567E45B2" w14:textId="77777777" w:rsidR="00344857" w:rsidRDefault="00344857" w:rsidP="00344857">
      <w:pPr>
        <w:rPr>
          <w:b/>
          <w:bCs/>
          <w:sz w:val="32"/>
          <w:szCs w:val="32"/>
        </w:rPr>
      </w:pPr>
    </w:p>
    <w:p w14:paraId="2F63405B" w14:textId="189991E2" w:rsidR="00344857" w:rsidRDefault="00344857" w:rsidP="00344857">
      <w:pPr>
        <w:rPr>
          <w:b/>
          <w:bCs/>
          <w:sz w:val="32"/>
          <w:szCs w:val="32"/>
        </w:rPr>
      </w:pPr>
      <w:r>
        <w:rPr>
          <w:b/>
          <w:bCs/>
          <w:sz w:val="32"/>
          <w:szCs w:val="32"/>
        </w:rPr>
        <w:lastRenderedPageBreak/>
        <w:t>INTRODUCTION</w:t>
      </w:r>
    </w:p>
    <w:p w14:paraId="0DA8BB1A" w14:textId="77777777" w:rsidR="00344857" w:rsidRPr="00A07478" w:rsidRDefault="00344857" w:rsidP="00344857">
      <w:pPr>
        <w:rPr>
          <w:sz w:val="32"/>
          <w:szCs w:val="32"/>
        </w:rPr>
      </w:pPr>
      <w:r w:rsidRPr="00A07478">
        <w:rPr>
          <w:sz w:val="32"/>
          <w:szCs w:val="32"/>
        </w:rPr>
        <w:t>This statement relates to an appeal by Aaron Ireland, against the service of an enforcement notice at land lying at 32 Hillview Manor Park, Winchester Road, Fair oak, SO507JF.</w:t>
      </w:r>
    </w:p>
    <w:p w14:paraId="3D02CD80" w14:textId="77777777" w:rsidR="00344857" w:rsidRDefault="00344857" w:rsidP="00344857">
      <w:pPr>
        <w:rPr>
          <w:sz w:val="32"/>
          <w:szCs w:val="32"/>
        </w:rPr>
      </w:pPr>
      <w:r w:rsidRPr="00A07478">
        <w:rPr>
          <w:sz w:val="32"/>
          <w:szCs w:val="32"/>
        </w:rPr>
        <w:t xml:space="preserve">The grounds of appeal are </w:t>
      </w:r>
    </w:p>
    <w:p w14:paraId="539E6C83" w14:textId="1DAE265F" w:rsidR="00344857" w:rsidRDefault="00344857" w:rsidP="00344857">
      <w:pPr>
        <w:rPr>
          <w:b/>
          <w:bCs/>
          <w:sz w:val="32"/>
          <w:szCs w:val="32"/>
        </w:rPr>
      </w:pPr>
      <w:r w:rsidRPr="00D71E48">
        <w:rPr>
          <w:b/>
          <w:bCs/>
          <w:sz w:val="32"/>
          <w:szCs w:val="32"/>
        </w:rPr>
        <w:t>The Notice</w:t>
      </w:r>
    </w:p>
    <w:p w14:paraId="7FB5C1EA" w14:textId="77777777" w:rsidR="00344857" w:rsidRPr="00D71E48" w:rsidRDefault="00344857" w:rsidP="00344857">
      <w:pPr>
        <w:rPr>
          <w:sz w:val="32"/>
          <w:szCs w:val="32"/>
        </w:rPr>
      </w:pPr>
      <w:r w:rsidRPr="00D71E48">
        <w:rPr>
          <w:sz w:val="32"/>
          <w:szCs w:val="32"/>
        </w:rPr>
        <w:t>The Appellant</w:t>
      </w:r>
      <w:r>
        <w:rPr>
          <w:sz w:val="32"/>
          <w:szCs w:val="32"/>
        </w:rPr>
        <w:t xml:space="preserve"> finds the Notice hard to understand. In the steps required at 5 iii removal of” the ancillary mobile home” is listed. The only mobile home on site is the residential unit lived in by Aaron Ireland, this on the face of things mean that mobile home can stay on site as it is not ancillary to any use, it has its own prime use</w:t>
      </w:r>
    </w:p>
    <w:p w14:paraId="1D1E9855" w14:textId="7ADD3686" w:rsidR="00344857" w:rsidRPr="00A07478" w:rsidRDefault="00344857" w:rsidP="00344857">
      <w:pPr>
        <w:rPr>
          <w:sz w:val="32"/>
          <w:szCs w:val="32"/>
        </w:rPr>
      </w:pPr>
      <w:r w:rsidRPr="00A07478">
        <w:rPr>
          <w:sz w:val="32"/>
          <w:szCs w:val="32"/>
        </w:rPr>
        <w:t>as set out in section 174 of the TCPA 1990</w:t>
      </w:r>
    </w:p>
    <w:p w14:paraId="7979791E" w14:textId="2964E2CF" w:rsidR="00344857" w:rsidRDefault="00344857" w:rsidP="00344857">
      <w:pPr>
        <w:rPr>
          <w:sz w:val="32"/>
          <w:szCs w:val="32"/>
        </w:rPr>
      </w:pPr>
      <w:r w:rsidRPr="00A07478">
        <w:rPr>
          <w:sz w:val="32"/>
          <w:szCs w:val="32"/>
        </w:rPr>
        <w:t>Grounds (a),</w:t>
      </w:r>
      <w:r>
        <w:rPr>
          <w:sz w:val="32"/>
          <w:szCs w:val="32"/>
        </w:rPr>
        <w:t>(c),</w:t>
      </w:r>
      <w:r w:rsidRPr="00A07478">
        <w:rPr>
          <w:sz w:val="32"/>
          <w:szCs w:val="32"/>
        </w:rPr>
        <w:t xml:space="preserve"> (d)</w:t>
      </w:r>
      <w:r>
        <w:rPr>
          <w:sz w:val="32"/>
          <w:szCs w:val="32"/>
        </w:rPr>
        <w:t>, (e)</w:t>
      </w:r>
      <w:r w:rsidRPr="00A07478">
        <w:rPr>
          <w:sz w:val="32"/>
          <w:szCs w:val="32"/>
        </w:rPr>
        <w:t xml:space="preserve"> and (f) are pleaded</w:t>
      </w:r>
    </w:p>
    <w:p w14:paraId="3B329DD7" w14:textId="77777777" w:rsidR="00344857" w:rsidRPr="00A07478" w:rsidRDefault="00344857" w:rsidP="00344857">
      <w:pPr>
        <w:rPr>
          <w:b/>
          <w:bCs/>
          <w:sz w:val="32"/>
          <w:szCs w:val="32"/>
        </w:rPr>
      </w:pPr>
      <w:r w:rsidRPr="00A07478">
        <w:rPr>
          <w:b/>
          <w:bCs/>
          <w:sz w:val="32"/>
          <w:szCs w:val="32"/>
        </w:rPr>
        <w:t>Ground (a)</w:t>
      </w:r>
      <w:r>
        <w:rPr>
          <w:b/>
          <w:bCs/>
          <w:sz w:val="32"/>
          <w:szCs w:val="32"/>
        </w:rPr>
        <w:t xml:space="preserve"> </w:t>
      </w:r>
    </w:p>
    <w:p w14:paraId="1FDE1DCB" w14:textId="77777777" w:rsidR="00344857" w:rsidRPr="00A07478" w:rsidRDefault="00344857" w:rsidP="00344857">
      <w:pPr>
        <w:rPr>
          <w:sz w:val="32"/>
          <w:szCs w:val="32"/>
        </w:rPr>
      </w:pPr>
      <w:r w:rsidRPr="00A07478">
        <w:rPr>
          <w:sz w:val="32"/>
          <w:szCs w:val="32"/>
        </w:rPr>
        <w:t>The Appellant under this ground seeks a temporary planning permission to site a mobile home for a 3-year period. This should be personally conditioned that the mobile home be only occupied by Aaron Ireland and his family due to his gypsy status.</w:t>
      </w:r>
    </w:p>
    <w:p w14:paraId="2729C2AC" w14:textId="77777777" w:rsidR="00344857" w:rsidRPr="00A07478" w:rsidRDefault="00344857" w:rsidP="00344857">
      <w:pPr>
        <w:rPr>
          <w:sz w:val="32"/>
          <w:szCs w:val="32"/>
        </w:rPr>
      </w:pPr>
      <w:r w:rsidRPr="00A07478">
        <w:rPr>
          <w:sz w:val="32"/>
          <w:szCs w:val="32"/>
        </w:rPr>
        <w:t xml:space="preserve">It is understood that the council have never taken into consideration during their investigation that </w:t>
      </w:r>
      <w:r>
        <w:rPr>
          <w:sz w:val="32"/>
          <w:szCs w:val="32"/>
        </w:rPr>
        <w:t>Aaron</w:t>
      </w:r>
      <w:r w:rsidRPr="00A07478">
        <w:rPr>
          <w:sz w:val="32"/>
          <w:szCs w:val="32"/>
        </w:rPr>
        <w:t xml:space="preserve"> Ireland is classed as a gypsy.</w:t>
      </w:r>
    </w:p>
    <w:p w14:paraId="081E16BB" w14:textId="77777777" w:rsidR="00344857" w:rsidRPr="00A07478" w:rsidRDefault="00344857" w:rsidP="00344857">
      <w:pPr>
        <w:shd w:val="clear" w:color="auto" w:fill="FFFFFF"/>
        <w:rPr>
          <w:rFonts w:ascii="Roboto" w:eastAsia="Times New Roman" w:hAnsi="Roboto" w:cs="Times New Roman"/>
          <w:color w:val="444444"/>
          <w:kern w:val="0"/>
          <w:sz w:val="32"/>
          <w:szCs w:val="32"/>
          <w:lang w:eastAsia="en-GB"/>
          <w14:ligatures w14:val="none"/>
        </w:rPr>
      </w:pPr>
      <w:r w:rsidRPr="00A07478">
        <w:rPr>
          <w:sz w:val="32"/>
          <w:szCs w:val="32"/>
        </w:rPr>
        <w:t>He had very little schooling and left school at the age of 12. His school registered him as a gypsy child. After the age of 12 he travelled with his father Jonathon Ireland who is part of the well-known gypsy families who have settled in an around the Titchfield area near Fareham Hampshire.</w:t>
      </w:r>
      <w:r>
        <w:rPr>
          <w:sz w:val="32"/>
          <w:szCs w:val="32"/>
        </w:rPr>
        <w:t xml:space="preserve"> Jonathon Ireland spent his remaining years living and travelling in a horsebox. Recently Mr Ireland has been taken into care due to his failing physical and mental condition.</w:t>
      </w:r>
    </w:p>
    <w:p w14:paraId="301A1B8E" w14:textId="77777777" w:rsidR="00344857" w:rsidRPr="00A07478" w:rsidRDefault="00344857" w:rsidP="00344857">
      <w:pPr>
        <w:shd w:val="clear" w:color="auto" w:fill="FFFFFF"/>
        <w:rPr>
          <w:rFonts w:ascii="Roboto" w:eastAsia="Times New Roman" w:hAnsi="Roboto" w:cs="Times New Roman"/>
          <w:color w:val="444444"/>
          <w:kern w:val="0"/>
          <w:sz w:val="32"/>
          <w:szCs w:val="32"/>
          <w:lang w:eastAsia="en-GB"/>
          <w14:ligatures w14:val="none"/>
        </w:rPr>
      </w:pPr>
      <w:r w:rsidRPr="00A07478">
        <w:rPr>
          <w:rFonts w:ascii="Roboto" w:eastAsia="Times New Roman" w:hAnsi="Roboto" w:cs="Times New Roman"/>
          <w:color w:val="000000"/>
          <w:kern w:val="0"/>
          <w:sz w:val="32"/>
          <w:szCs w:val="32"/>
          <w:lang w:eastAsia="en-GB"/>
          <w14:ligatures w14:val="none"/>
        </w:rPr>
        <w:t xml:space="preserve">The 2024 PPTS provides updated guidance for local planning authorities to meet the accommodation needs of Gypsies, </w:t>
      </w:r>
      <w:r w:rsidRPr="00A07478">
        <w:rPr>
          <w:rFonts w:ascii="Roboto" w:eastAsia="Times New Roman" w:hAnsi="Roboto" w:cs="Times New Roman"/>
          <w:color w:val="000000"/>
          <w:kern w:val="0"/>
          <w:sz w:val="32"/>
          <w:szCs w:val="32"/>
          <w:lang w:eastAsia="en-GB"/>
          <w14:ligatures w14:val="none"/>
        </w:rPr>
        <w:lastRenderedPageBreak/>
        <w:t>Travellers, and Travelling Show people, including revised</w:t>
      </w:r>
      <w:r>
        <w:rPr>
          <w:rFonts w:ascii="Roboto" w:eastAsia="Times New Roman" w:hAnsi="Roboto" w:cs="Times New Roman"/>
          <w:color w:val="000000"/>
          <w:kern w:val="0"/>
          <w:sz w:val="32"/>
          <w:szCs w:val="32"/>
          <w:lang w:eastAsia="en-GB"/>
          <w14:ligatures w14:val="none"/>
        </w:rPr>
        <w:t xml:space="preserve"> </w:t>
      </w:r>
      <w:r w:rsidRPr="00A07478">
        <w:rPr>
          <w:rFonts w:ascii="Roboto" w:eastAsia="Times New Roman" w:hAnsi="Roboto" w:cs="Times New Roman"/>
          <w:color w:val="000000"/>
          <w:kern w:val="0"/>
          <w:sz w:val="32"/>
          <w:szCs w:val="32"/>
          <w:lang w:eastAsia="en-GB"/>
          <w14:ligatures w14:val="none"/>
        </w:rPr>
        <w:t>definitions, pitch targets, and criteria for sustainable site development.</w:t>
      </w:r>
    </w:p>
    <w:p w14:paraId="749FE93B" w14:textId="77777777" w:rsidR="00344857" w:rsidRPr="00A07478" w:rsidRDefault="00344857" w:rsidP="00344857">
      <w:pPr>
        <w:shd w:val="clear" w:color="auto" w:fill="FFFFFF"/>
        <w:spacing w:after="0" w:line="390" w:lineRule="atLeast"/>
        <w:outlineLvl w:val="1"/>
        <w:rPr>
          <w:rFonts w:ascii="Roboto" w:eastAsia="Times New Roman" w:hAnsi="Roboto" w:cs="Times New Roman"/>
          <w:color w:val="000000"/>
          <w:kern w:val="0"/>
          <w:sz w:val="32"/>
          <w:szCs w:val="32"/>
          <w:lang w:eastAsia="en-GB"/>
          <w14:ligatures w14:val="none"/>
        </w:rPr>
      </w:pPr>
      <w:r w:rsidRPr="00A07478">
        <w:rPr>
          <w:rFonts w:ascii="Roboto" w:eastAsia="Times New Roman" w:hAnsi="Roboto" w:cs="Times New Roman"/>
          <w:color w:val="000000"/>
          <w:kern w:val="0"/>
          <w:sz w:val="32"/>
          <w:szCs w:val="32"/>
          <w:lang w:eastAsia="en-GB"/>
          <w14:ligatures w14:val="none"/>
        </w:rPr>
        <w:t>Overview of the 2024 PPTS</w:t>
      </w:r>
    </w:p>
    <w:p w14:paraId="35C363B0" w14:textId="77777777" w:rsidR="00344857" w:rsidRPr="00A07478" w:rsidRDefault="00344857" w:rsidP="00344857">
      <w:pPr>
        <w:shd w:val="clear" w:color="auto" w:fill="FFFFFF"/>
        <w:spacing w:after="0" w:line="330" w:lineRule="atLeast"/>
        <w:rPr>
          <w:rFonts w:ascii="Roboto" w:eastAsia="Times New Roman" w:hAnsi="Roboto" w:cs="Times New Roman"/>
          <w:color w:val="000000"/>
          <w:kern w:val="0"/>
          <w:sz w:val="32"/>
          <w:szCs w:val="32"/>
          <w:lang w:eastAsia="en-GB"/>
          <w14:ligatures w14:val="none"/>
        </w:rPr>
      </w:pPr>
      <w:r w:rsidRPr="00A07478">
        <w:rPr>
          <w:rFonts w:ascii="Roboto" w:eastAsia="Times New Roman" w:hAnsi="Roboto" w:cs="Times New Roman"/>
          <w:color w:val="000000"/>
          <w:kern w:val="0"/>
          <w:sz w:val="32"/>
          <w:szCs w:val="32"/>
          <w:lang w:eastAsia="en-GB"/>
          <w14:ligatures w14:val="none"/>
        </w:rPr>
        <w:t>The Planning Policy for Traveller Sites (PPTS) 2024 is the UK Government’s updated guidance for planning authorities, intended to be read alongside the National Planning Policy Framework (NPPF). Its overarching aim is to ensure fair and equal treatment for travellers, facilitating their traditional and nomadic way of life while respecting the interests of the settled community and protecting local amenity and the environment.</w:t>
      </w:r>
    </w:p>
    <w:p w14:paraId="536DED3A" w14:textId="23D4161B" w:rsidR="00344857" w:rsidRDefault="00344857" w:rsidP="00344857">
      <w:pPr>
        <w:rPr>
          <w:sz w:val="32"/>
          <w:szCs w:val="32"/>
        </w:rPr>
      </w:pPr>
    </w:p>
    <w:p w14:paraId="39F8202A" w14:textId="77777777" w:rsidR="00344857" w:rsidRPr="00A07478" w:rsidRDefault="00344857" w:rsidP="00344857">
      <w:pPr>
        <w:numPr>
          <w:ilvl w:val="0"/>
          <w:numId w:val="1"/>
        </w:numPr>
        <w:shd w:val="clear" w:color="auto" w:fill="FFFFFF"/>
        <w:spacing w:after="0" w:line="390" w:lineRule="atLeast"/>
        <w:rPr>
          <w:rFonts w:ascii="Roboto" w:eastAsia="Times New Roman" w:hAnsi="Roboto" w:cs="Times New Roman"/>
          <w:color w:val="000000"/>
          <w:kern w:val="0"/>
          <w:sz w:val="32"/>
          <w:szCs w:val="32"/>
          <w:lang w:eastAsia="en-GB"/>
          <w14:ligatures w14:val="none"/>
        </w:rPr>
      </w:pPr>
      <w:r w:rsidRPr="00A07478">
        <w:rPr>
          <w:rFonts w:ascii="Roboto" w:eastAsia="Times New Roman" w:hAnsi="Roboto" w:cs="Times New Roman"/>
          <w:color w:val="000000"/>
          <w:kern w:val="0"/>
          <w:sz w:val="32"/>
          <w:szCs w:val="32"/>
          <w:lang w:eastAsia="en-GB"/>
          <w14:ligatures w14:val="none"/>
        </w:rPr>
        <w:t>The </w:t>
      </w:r>
      <w:r w:rsidRPr="00A07478">
        <w:rPr>
          <w:rFonts w:ascii="Roboto" w:eastAsia="Times New Roman" w:hAnsi="Roboto" w:cs="Times New Roman"/>
          <w:b/>
          <w:bCs/>
          <w:color w:val="000000"/>
          <w:kern w:val="0"/>
          <w:sz w:val="32"/>
          <w:szCs w:val="32"/>
          <w:lang w:eastAsia="en-GB"/>
          <w14:ligatures w14:val="none"/>
        </w:rPr>
        <w:t>definition of Gypsies and Travellers</w:t>
      </w:r>
      <w:r w:rsidRPr="00A07478">
        <w:rPr>
          <w:rFonts w:ascii="Roboto" w:eastAsia="Times New Roman" w:hAnsi="Roboto" w:cs="Times New Roman"/>
          <w:color w:val="000000"/>
          <w:kern w:val="0"/>
          <w:sz w:val="32"/>
          <w:szCs w:val="32"/>
          <w:lang w:eastAsia="en-GB"/>
          <w14:ligatures w14:val="none"/>
        </w:rPr>
        <w:t> has been revised to be more inclusive. It now covers persons of nomadic habit of life, regardless of race or origin, including those who have temporarily or permanently ceased travelling due to health, education, or old age, and all others with a cultural tradition of nomadism or living in a caravan. Members of organised groups of travelling show people or circus people are excluded</w:t>
      </w:r>
    </w:p>
    <w:p w14:paraId="7EF6CCE3" w14:textId="77777777" w:rsidR="00344857" w:rsidRPr="00A07478" w:rsidRDefault="00344857" w:rsidP="00344857">
      <w:pPr>
        <w:numPr>
          <w:ilvl w:val="0"/>
          <w:numId w:val="1"/>
        </w:numPr>
        <w:shd w:val="clear" w:color="auto" w:fill="FFFFFF"/>
        <w:spacing w:after="0" w:line="390" w:lineRule="atLeast"/>
        <w:rPr>
          <w:rFonts w:ascii="Roboto" w:eastAsia="Times New Roman" w:hAnsi="Roboto" w:cs="Times New Roman"/>
          <w:color w:val="000000"/>
          <w:kern w:val="0"/>
          <w:sz w:val="32"/>
          <w:szCs w:val="32"/>
          <w:lang w:eastAsia="en-GB"/>
          <w14:ligatures w14:val="none"/>
        </w:rPr>
      </w:pPr>
      <w:r w:rsidRPr="00A07478">
        <w:rPr>
          <w:rFonts w:ascii="Roboto" w:eastAsia="Times New Roman" w:hAnsi="Roboto" w:cs="Times New Roman"/>
          <w:color w:val="000000"/>
          <w:kern w:val="0"/>
          <w:sz w:val="32"/>
          <w:szCs w:val="32"/>
          <w:lang w:eastAsia="en-GB"/>
          <w14:ligatures w14:val="none"/>
        </w:rPr>
        <w:t>Local planning authorities must </w:t>
      </w:r>
      <w:r w:rsidRPr="00A07478">
        <w:rPr>
          <w:rFonts w:ascii="Roboto" w:eastAsia="Times New Roman" w:hAnsi="Roboto" w:cs="Times New Roman"/>
          <w:b/>
          <w:bCs/>
          <w:color w:val="000000"/>
          <w:kern w:val="0"/>
          <w:sz w:val="32"/>
          <w:szCs w:val="32"/>
          <w:lang w:eastAsia="en-GB"/>
          <w14:ligatures w14:val="none"/>
        </w:rPr>
        <w:t>set pitch targets</w:t>
      </w:r>
      <w:r w:rsidRPr="00A07478">
        <w:rPr>
          <w:rFonts w:ascii="Roboto" w:eastAsia="Times New Roman" w:hAnsi="Roboto" w:cs="Times New Roman"/>
          <w:color w:val="000000"/>
          <w:kern w:val="0"/>
          <w:sz w:val="32"/>
          <w:szCs w:val="32"/>
          <w:lang w:eastAsia="en-GB"/>
          <w14:ligatures w14:val="none"/>
        </w:rPr>
        <w:t> for Gypsies and Travellers and plot targets for Travelling Show people, addressing both permanent and transit site needs in collaboration with neighbouring authorities.</w:t>
      </w:r>
    </w:p>
    <w:p w14:paraId="5D1F144D" w14:textId="77777777" w:rsidR="00344857" w:rsidRDefault="00344857" w:rsidP="00344857">
      <w:pPr>
        <w:numPr>
          <w:ilvl w:val="0"/>
          <w:numId w:val="1"/>
        </w:numPr>
        <w:shd w:val="clear" w:color="auto" w:fill="FFFFFF"/>
        <w:spacing w:after="0" w:line="390" w:lineRule="atLeast"/>
        <w:rPr>
          <w:rFonts w:ascii="Roboto" w:eastAsia="Times New Roman" w:hAnsi="Roboto" w:cs="Times New Roman"/>
          <w:color w:val="000000"/>
          <w:kern w:val="0"/>
          <w:sz w:val="32"/>
          <w:szCs w:val="32"/>
          <w:lang w:eastAsia="en-GB"/>
          <w14:ligatures w14:val="none"/>
        </w:rPr>
      </w:pPr>
      <w:r w:rsidRPr="00A07478">
        <w:rPr>
          <w:rFonts w:ascii="Roboto" w:eastAsia="Times New Roman" w:hAnsi="Roboto" w:cs="Times New Roman"/>
          <w:color w:val="000000"/>
          <w:kern w:val="0"/>
          <w:sz w:val="32"/>
          <w:szCs w:val="32"/>
          <w:lang w:eastAsia="en-GB"/>
          <w14:ligatures w14:val="none"/>
        </w:rPr>
        <w:t>The policy encourages a </w:t>
      </w:r>
      <w:commentRangeStart w:id="0"/>
      <w:r w:rsidRPr="00A07478">
        <w:rPr>
          <w:rFonts w:ascii="Roboto" w:eastAsia="Times New Roman" w:hAnsi="Roboto" w:cs="Times New Roman"/>
          <w:b/>
          <w:bCs/>
          <w:color w:val="000000"/>
          <w:kern w:val="0"/>
          <w:sz w:val="32"/>
          <w:szCs w:val="32"/>
          <w:lang w:eastAsia="en-GB"/>
          <w14:ligatures w14:val="none"/>
        </w:rPr>
        <w:t>more permissive approach to development in the Green Belt</w:t>
      </w:r>
      <w:r w:rsidRPr="00A07478">
        <w:rPr>
          <w:rFonts w:ascii="Roboto" w:eastAsia="Times New Roman" w:hAnsi="Roboto" w:cs="Times New Roman"/>
          <w:color w:val="000000"/>
          <w:kern w:val="0"/>
          <w:sz w:val="32"/>
          <w:szCs w:val="32"/>
          <w:lang w:eastAsia="en-GB"/>
          <w14:ligatures w14:val="none"/>
        </w:rPr>
        <w:t> </w:t>
      </w:r>
      <w:commentRangeEnd w:id="0"/>
      <w:r w:rsidRPr="00A07478">
        <w:rPr>
          <w:rStyle w:val="CommentReference"/>
          <w:rFonts w:ascii="Roboto" w:eastAsia="Times New Roman" w:hAnsi="Roboto" w:cs="Times New Roman"/>
          <w:color w:val="000000"/>
          <w:kern w:val="0"/>
          <w:sz w:val="32"/>
          <w:szCs w:val="32"/>
          <w:lang w:eastAsia="en-GB"/>
          <w14:ligatures w14:val="none"/>
        </w:rPr>
        <w:commentReference w:id="0"/>
      </w:r>
      <w:r w:rsidRPr="00A07478">
        <w:rPr>
          <w:rFonts w:ascii="Roboto" w:eastAsia="Times New Roman" w:hAnsi="Roboto" w:cs="Times New Roman"/>
          <w:color w:val="000000"/>
          <w:kern w:val="0"/>
          <w:sz w:val="32"/>
          <w:szCs w:val="32"/>
          <w:lang w:eastAsia="en-GB"/>
          <w14:ligatures w14:val="none"/>
        </w:rPr>
        <w:t>where criteria are met, and planning permission is more likely if a local authority has not identified a five-year supply of pitches</w:t>
      </w:r>
      <w:r>
        <w:rPr>
          <w:rFonts w:ascii="Roboto" w:eastAsia="Times New Roman" w:hAnsi="Roboto" w:cs="Times New Roman"/>
          <w:color w:val="000000"/>
          <w:kern w:val="0"/>
          <w:sz w:val="32"/>
          <w:szCs w:val="32"/>
          <w:lang w:eastAsia="en-GB"/>
          <w14:ligatures w14:val="none"/>
        </w:rPr>
        <w:t>.</w:t>
      </w:r>
    </w:p>
    <w:p w14:paraId="55B544B1" w14:textId="6CBE35D5" w:rsidR="00344857" w:rsidRDefault="00344857" w:rsidP="00344857">
      <w:r w:rsidRPr="00624ADD">
        <w:rPr>
          <w:sz w:val="32"/>
          <w:szCs w:val="32"/>
        </w:rPr>
        <w:t xml:space="preserve">Section 38 of the ‘Planning and Compulsory Purchase Act 2004’ requires an application to be determined in accordance with the relevant policies of the development plan unless material considerations indicate otherwise; an element of flexibility is provided which enables decisions to be made which may disagree with the development plan. The development plan for </w:t>
      </w:r>
      <w:r>
        <w:rPr>
          <w:sz w:val="32"/>
          <w:szCs w:val="32"/>
        </w:rPr>
        <w:t>Fair Oak</w:t>
      </w:r>
      <w:r w:rsidRPr="00344857">
        <w:rPr>
          <w:sz w:val="32"/>
          <w:szCs w:val="32"/>
        </w:rPr>
        <w:t xml:space="preserve"> </w:t>
      </w:r>
      <w:r w:rsidRPr="00624ADD">
        <w:rPr>
          <w:sz w:val="32"/>
          <w:szCs w:val="32"/>
        </w:rPr>
        <w:lastRenderedPageBreak/>
        <w:t>comprises the ‘Eastleigh Borough Local Plan (2016-2036)’ (2022). The policies map of the development plan shows this site within ‘Countryside’ with no special designations; it does not fall within a Flood Zone</w:t>
      </w:r>
      <w:r>
        <w:t>.</w:t>
      </w:r>
    </w:p>
    <w:p w14:paraId="5A5A9433" w14:textId="77777777" w:rsidR="00344857" w:rsidRDefault="00344857" w:rsidP="00344857">
      <w:pPr>
        <w:rPr>
          <w:sz w:val="32"/>
          <w:szCs w:val="32"/>
        </w:rPr>
      </w:pPr>
      <w:r w:rsidRPr="00393344">
        <w:rPr>
          <w:sz w:val="32"/>
          <w:szCs w:val="32"/>
        </w:rPr>
        <w:t>Local Plan Policy DM31 (‘Gypsies, Travellers and Travelling Show people’) states that: ‘1. The Council will meet the need for additional Gypsy and Travellers pitches…as identified in the Gypsy and Travellers and Travelling Show people Accommodation Assessment (GTTSAA)’ and provides for the grant of planning permission for Gypsy/Traveller sites where:</w:t>
      </w:r>
    </w:p>
    <w:p w14:paraId="33412AE6" w14:textId="77777777" w:rsidR="00344857" w:rsidRDefault="00344857" w:rsidP="00344857">
      <w:pPr>
        <w:rPr>
          <w:sz w:val="32"/>
          <w:szCs w:val="32"/>
        </w:rPr>
      </w:pPr>
      <w:r w:rsidRPr="00393344">
        <w:rPr>
          <w:sz w:val="32"/>
          <w:szCs w:val="32"/>
        </w:rPr>
        <w:t xml:space="preserve">3a. there is an identified need for the pitch or plot provision which the proposal helps to meet; </w:t>
      </w:r>
    </w:p>
    <w:p w14:paraId="66177C8A" w14:textId="77777777" w:rsidR="00344857" w:rsidRDefault="00344857" w:rsidP="00344857">
      <w:pPr>
        <w:rPr>
          <w:sz w:val="32"/>
          <w:szCs w:val="32"/>
        </w:rPr>
      </w:pPr>
      <w:r>
        <w:rPr>
          <w:sz w:val="32"/>
          <w:szCs w:val="32"/>
        </w:rPr>
        <w:t>3</w:t>
      </w:r>
      <w:r w:rsidRPr="00393344">
        <w:rPr>
          <w:sz w:val="32"/>
          <w:szCs w:val="32"/>
        </w:rPr>
        <w:t>b. the site is able to accommodate both residential use and where necessary the range of economic activities and vehicles associated with residents’ mobile lifestyles without unacceptable impact on local amenities, road safety, heritage, landscape or biodiversity interests;</w:t>
      </w:r>
    </w:p>
    <w:p w14:paraId="29A15DB0" w14:textId="77777777" w:rsidR="00344857" w:rsidRDefault="00344857" w:rsidP="00344857">
      <w:pPr>
        <w:rPr>
          <w:sz w:val="32"/>
          <w:szCs w:val="32"/>
        </w:rPr>
      </w:pPr>
      <w:r>
        <w:rPr>
          <w:sz w:val="32"/>
          <w:szCs w:val="32"/>
        </w:rPr>
        <w:t>3</w:t>
      </w:r>
      <w:r w:rsidRPr="00393344">
        <w:rPr>
          <w:sz w:val="32"/>
          <w:szCs w:val="32"/>
        </w:rPr>
        <w:t>b. the site is able to accommodate both residential use and where necessary the range of economic activities and vehicles associated with residents’ mobile lifestyles without unacceptable impact on local amenities, road safety, heritage, landscape or biodiversity interests;</w:t>
      </w:r>
    </w:p>
    <w:p w14:paraId="2E93F8F6" w14:textId="77777777" w:rsidR="00344857" w:rsidRDefault="00344857" w:rsidP="00344857">
      <w:pPr>
        <w:rPr>
          <w:sz w:val="32"/>
          <w:szCs w:val="32"/>
        </w:rPr>
      </w:pPr>
      <w:r>
        <w:rPr>
          <w:sz w:val="32"/>
          <w:szCs w:val="32"/>
        </w:rPr>
        <w:t>3</w:t>
      </w:r>
      <w:r w:rsidRPr="00393344">
        <w:rPr>
          <w:sz w:val="32"/>
          <w:szCs w:val="32"/>
        </w:rPr>
        <w:t xml:space="preserve"> c. the site has safe and convenient access to existing and proposed services and facilities to serve the residents, including education, health facilities and shops; </w:t>
      </w:r>
    </w:p>
    <w:p w14:paraId="7DC2CEE7" w14:textId="77777777" w:rsidR="00344857" w:rsidRDefault="00344857" w:rsidP="00344857">
      <w:pPr>
        <w:rPr>
          <w:sz w:val="32"/>
          <w:szCs w:val="32"/>
        </w:rPr>
      </w:pPr>
      <w:r>
        <w:rPr>
          <w:sz w:val="32"/>
          <w:szCs w:val="32"/>
        </w:rPr>
        <w:t>3</w:t>
      </w:r>
      <w:r w:rsidRPr="00393344">
        <w:rPr>
          <w:sz w:val="32"/>
          <w:szCs w:val="32"/>
        </w:rPr>
        <w:t xml:space="preserve">d. the site has or can be viably provided with utility services; and </w:t>
      </w:r>
    </w:p>
    <w:p w14:paraId="4D95E902" w14:textId="1072B548" w:rsidR="00344857" w:rsidRDefault="00344857" w:rsidP="00344857">
      <w:pPr>
        <w:rPr>
          <w:color w:val="000000" w:themeColor="text1"/>
          <w:sz w:val="32"/>
          <w:szCs w:val="32"/>
        </w:rPr>
      </w:pPr>
      <w:r>
        <w:rPr>
          <w:sz w:val="32"/>
          <w:szCs w:val="32"/>
        </w:rPr>
        <w:t>3</w:t>
      </w:r>
      <w:r w:rsidRPr="00393344">
        <w:rPr>
          <w:sz w:val="32"/>
          <w:szCs w:val="32"/>
        </w:rPr>
        <w:t xml:space="preserve">e. the site has vehicular access to and from the strategic road network adequate to accommodate mobile residential units and any vehicles/machinery associated with residents’ working activities.”. </w:t>
      </w:r>
      <w:r w:rsidRPr="002D3908">
        <w:rPr>
          <w:color w:val="000000" w:themeColor="text1"/>
          <w:sz w:val="32"/>
          <w:szCs w:val="32"/>
        </w:rPr>
        <w:t xml:space="preserve">Paragraph 5.141 of the Local Plan records that: ‘The GTTSAA </w:t>
      </w:r>
      <w:r w:rsidRPr="002D3908">
        <w:rPr>
          <w:color w:val="000000" w:themeColor="text1"/>
          <w:sz w:val="32"/>
          <w:szCs w:val="32"/>
        </w:rPr>
        <w:lastRenderedPageBreak/>
        <w:t>identifies the current provision in Eastleigh Borough. There are 29 pitches on 17 Gypsy and Traveller sites…By 2036 there is a confirmed need for four permanent Gypsy and Traveller pitches…. The GTTSAA estimated one additional Gypsy and Traveller pitch…are likely to be</w:t>
      </w:r>
      <w:r>
        <w:rPr>
          <w:sz w:val="32"/>
          <w:szCs w:val="32"/>
        </w:rPr>
        <w:t xml:space="preserve"> </w:t>
      </w:r>
      <w:r w:rsidRPr="002D3908">
        <w:rPr>
          <w:color w:val="000000" w:themeColor="text1"/>
          <w:sz w:val="32"/>
          <w:szCs w:val="32"/>
        </w:rPr>
        <w:t xml:space="preserve">needed to address unconfirmed need. This need is unconfirmed at this stage as sites were surveyed but interviews were not able to be completed. Aaron Ireland was not visited. An enquiry to the council at the end of 2024 revealed that there are no pitches available on any of Gypsy and Traveller sites in the area.  December 2024, this was also confirmed by Hampshire County Council. It was also confirmed that the County only had one site in the north of the County with seven on the waiting list.’ and ‘There are no pitches in Eastleigh…. An unconfirmed need of up to 4 Gypsy and Traveller pitches from households who meet the definition; and an additional need for 6 pitches for households who do not meet the planning definition.”. … “2. Of the 5 Gypsy and Traveller pitches required 2016-2036, 3 were required to meet the current need from unauthorised pitches and 2 additional pitches were required in 2021-2026 and in 2026-31 in response to new household formation. However, one pitch identified as unauthorised in the GTAA was granted full permission in February 2017, after the base date of the GTAA. On publication, therefore, the requirement in the Borough had decreased to 4 pitches. </w:t>
      </w:r>
      <w:r>
        <w:rPr>
          <w:color w:val="000000" w:themeColor="text1"/>
          <w:sz w:val="32"/>
          <w:szCs w:val="32"/>
        </w:rPr>
        <w:t>Importantly</w:t>
      </w:r>
      <w:r w:rsidRPr="002D3908">
        <w:rPr>
          <w:color w:val="000000" w:themeColor="text1"/>
          <w:sz w:val="32"/>
          <w:szCs w:val="32"/>
        </w:rPr>
        <w:t>, the document recognised ‘…a need from…households living on unauthorised yards elsewhere in Hampshire with strong local connections to Eastleigh, as a result of work and family.’, which have since been authorised. This is also the case for the applicant and his family</w:t>
      </w:r>
    </w:p>
    <w:p w14:paraId="6E98FD9E" w14:textId="77777777" w:rsidR="00344857" w:rsidRDefault="00344857" w:rsidP="00344857">
      <w:pPr>
        <w:rPr>
          <w:color w:val="000000" w:themeColor="text1"/>
          <w:sz w:val="32"/>
          <w:szCs w:val="32"/>
        </w:rPr>
      </w:pPr>
      <w:r>
        <w:rPr>
          <w:color w:val="000000" w:themeColor="text1"/>
          <w:sz w:val="32"/>
          <w:szCs w:val="32"/>
        </w:rPr>
        <w:t>The grant of a temporary permission, subject to conditions will allow time for the council to provide a site to meet its needs</w:t>
      </w:r>
    </w:p>
    <w:p w14:paraId="7E467627" w14:textId="77777777" w:rsidR="00344857" w:rsidRDefault="00344857" w:rsidP="00344857">
      <w:pPr>
        <w:rPr>
          <w:color w:val="000000" w:themeColor="text1"/>
          <w:sz w:val="32"/>
          <w:szCs w:val="32"/>
        </w:rPr>
      </w:pPr>
      <w:r>
        <w:rPr>
          <w:color w:val="000000" w:themeColor="text1"/>
          <w:sz w:val="32"/>
          <w:szCs w:val="32"/>
        </w:rPr>
        <w:t xml:space="preserve">The site is sufficiently large enough for both the residential and economic activities of a gypsy way of life. The site is in close proximity to facilities and close to major roads. There is a large shop </w:t>
      </w:r>
      <w:r>
        <w:rPr>
          <w:color w:val="000000" w:themeColor="text1"/>
          <w:sz w:val="32"/>
          <w:szCs w:val="32"/>
        </w:rPr>
        <w:lastRenderedPageBreak/>
        <w:t xml:space="preserve">(Inexcess) situated in the caravan park immediately opposite. The site has the benefit of electricity and water, and fully meets the criteria as set out in policy DM31. </w:t>
      </w:r>
    </w:p>
    <w:p w14:paraId="3CA1A3C5" w14:textId="77777777" w:rsidR="00344857" w:rsidRDefault="00344857" w:rsidP="00344857">
      <w:pPr>
        <w:rPr>
          <w:b/>
          <w:bCs/>
          <w:color w:val="000000" w:themeColor="text1"/>
          <w:sz w:val="32"/>
          <w:szCs w:val="32"/>
        </w:rPr>
      </w:pPr>
      <w:r w:rsidRPr="009E7DED">
        <w:rPr>
          <w:b/>
          <w:bCs/>
          <w:color w:val="000000" w:themeColor="text1"/>
          <w:sz w:val="32"/>
          <w:szCs w:val="32"/>
        </w:rPr>
        <w:t>Ground (c)</w:t>
      </w:r>
    </w:p>
    <w:p w14:paraId="201490CA" w14:textId="77777777" w:rsidR="00344857" w:rsidRDefault="00344857" w:rsidP="00344857">
      <w:pPr>
        <w:rPr>
          <w:color w:val="000000" w:themeColor="text1"/>
          <w:sz w:val="32"/>
          <w:szCs w:val="32"/>
        </w:rPr>
      </w:pPr>
      <w:r w:rsidRPr="009F3FA7">
        <w:rPr>
          <w:color w:val="000000" w:themeColor="text1"/>
          <w:sz w:val="32"/>
          <w:szCs w:val="32"/>
        </w:rPr>
        <w:t>The horse truck</w:t>
      </w:r>
      <w:r>
        <w:rPr>
          <w:color w:val="000000" w:themeColor="text1"/>
          <w:sz w:val="32"/>
          <w:szCs w:val="32"/>
        </w:rPr>
        <w:t xml:space="preserve"> is not stored on the land as a stand-alone vehicle. The box is used ancillary to the lawful agricultural use of the land. The box is used to transport horses to and from the site to graze, (an agricultural use.</w:t>
      </w:r>
    </w:p>
    <w:p w14:paraId="30345B9E" w14:textId="77777777" w:rsidR="00344857" w:rsidRDefault="00344857" w:rsidP="00344857">
      <w:pPr>
        <w:rPr>
          <w:b/>
          <w:bCs/>
          <w:color w:val="000000" w:themeColor="text1"/>
          <w:sz w:val="32"/>
          <w:szCs w:val="32"/>
        </w:rPr>
      </w:pPr>
      <w:r w:rsidRPr="00D648D5">
        <w:rPr>
          <w:b/>
          <w:bCs/>
          <w:color w:val="000000" w:themeColor="text1"/>
          <w:sz w:val="32"/>
          <w:szCs w:val="32"/>
        </w:rPr>
        <w:t>Ground (d)</w:t>
      </w:r>
    </w:p>
    <w:p w14:paraId="63AB7977" w14:textId="77777777" w:rsidR="00344857" w:rsidRDefault="00344857" w:rsidP="00344857">
      <w:pPr>
        <w:rPr>
          <w:color w:val="000000" w:themeColor="text1"/>
          <w:sz w:val="32"/>
          <w:szCs w:val="32"/>
        </w:rPr>
      </w:pPr>
      <w:r w:rsidRPr="00D648D5">
        <w:rPr>
          <w:color w:val="000000" w:themeColor="text1"/>
          <w:sz w:val="32"/>
          <w:szCs w:val="32"/>
        </w:rPr>
        <w:t>Statutory declarations</w:t>
      </w:r>
      <w:r>
        <w:rPr>
          <w:color w:val="000000" w:themeColor="text1"/>
          <w:sz w:val="32"/>
          <w:szCs w:val="32"/>
        </w:rPr>
        <w:t xml:space="preserve"> have been submitted clearly stating that open storage has taken place for more than 10 years prior to the service of the Notice on the land.</w:t>
      </w:r>
    </w:p>
    <w:p w14:paraId="445FA57E" w14:textId="77777777" w:rsidR="00344857" w:rsidRDefault="00344857" w:rsidP="00344857">
      <w:pPr>
        <w:rPr>
          <w:color w:val="000000" w:themeColor="text1"/>
          <w:sz w:val="32"/>
          <w:szCs w:val="32"/>
        </w:rPr>
      </w:pPr>
      <w:r>
        <w:rPr>
          <w:color w:val="000000" w:themeColor="text1"/>
          <w:sz w:val="32"/>
          <w:szCs w:val="32"/>
        </w:rPr>
        <w:t>Both the plans attached APX 1 and APX2 clearly show an existing track going through the site. The APX2 plan with the black covering has clearly obscured the original track. Carefully looking at the plan over light this can be seen. The previous owner Jason Lomas in 2021 laid road chippings over the brick rubble to make a usable track. As he was importing the chippings and storing them, they were considered waste and he was required to apply for a waste licence. Before April 2022 the chippings had been laid and the road made. Following this the land was sold to Aaron Ireland and he immediately widened the area at the top of the site where he placed a caravan This work was operational development carried out more than 4 years prior to the service of the Notice. The work started prior to April 2024 and is immune from enforcement by virtue of the transition period.</w:t>
      </w:r>
    </w:p>
    <w:p w14:paraId="48D78BCA" w14:textId="77777777" w:rsidR="00344857" w:rsidRDefault="00344857" w:rsidP="00344857">
      <w:pPr>
        <w:rPr>
          <w:b/>
          <w:bCs/>
          <w:color w:val="000000" w:themeColor="text1"/>
          <w:sz w:val="32"/>
          <w:szCs w:val="32"/>
        </w:rPr>
      </w:pPr>
      <w:r w:rsidRPr="00FA1571">
        <w:rPr>
          <w:b/>
          <w:bCs/>
          <w:color w:val="000000" w:themeColor="text1"/>
          <w:sz w:val="32"/>
          <w:szCs w:val="32"/>
        </w:rPr>
        <w:t>Ground (e)</w:t>
      </w:r>
    </w:p>
    <w:p w14:paraId="39B4F7F3" w14:textId="78B1ACAD" w:rsidR="00344857" w:rsidRDefault="00344857" w:rsidP="00344857">
      <w:pPr>
        <w:rPr>
          <w:color w:val="000000" w:themeColor="text1"/>
          <w:sz w:val="32"/>
          <w:szCs w:val="32"/>
        </w:rPr>
      </w:pPr>
      <w:r w:rsidRPr="00FA1571">
        <w:rPr>
          <w:color w:val="000000" w:themeColor="text1"/>
          <w:sz w:val="32"/>
          <w:szCs w:val="32"/>
        </w:rPr>
        <w:t>The Notice</w:t>
      </w:r>
      <w:r>
        <w:rPr>
          <w:color w:val="000000" w:themeColor="text1"/>
          <w:sz w:val="32"/>
          <w:szCs w:val="32"/>
        </w:rPr>
        <w:t xml:space="preserve"> at para 3 does not cite the hardstanding as a breach, so the requirement to remove “the hardstanding, hardcore, and sub-base” go beyond what is considered reasonable, unless the council </w:t>
      </w:r>
      <w:r>
        <w:rPr>
          <w:color w:val="000000" w:themeColor="text1"/>
          <w:sz w:val="32"/>
          <w:szCs w:val="32"/>
        </w:rPr>
        <w:lastRenderedPageBreak/>
        <w:t>believe this is a necessary requirement related to the breaches identified. There is no evidence tying the track to any breach. The</w:t>
      </w:r>
      <w:r w:rsidRPr="00344857">
        <w:rPr>
          <w:color w:val="000000" w:themeColor="text1"/>
          <w:sz w:val="32"/>
          <w:szCs w:val="32"/>
        </w:rPr>
        <w:t xml:space="preserve"> </w:t>
      </w:r>
      <w:r>
        <w:rPr>
          <w:color w:val="000000" w:themeColor="text1"/>
          <w:sz w:val="32"/>
          <w:szCs w:val="32"/>
        </w:rPr>
        <w:t>Appellant requires the track in association with the agricultural use of the site</w:t>
      </w:r>
    </w:p>
    <w:p w14:paraId="4925CB45" w14:textId="77777777" w:rsidR="00344857" w:rsidRPr="00CF68B0" w:rsidRDefault="00344857" w:rsidP="00344857">
      <w:pPr>
        <w:rPr>
          <w:b/>
          <w:bCs/>
          <w:color w:val="000000" w:themeColor="text1"/>
          <w:sz w:val="32"/>
          <w:szCs w:val="32"/>
        </w:rPr>
      </w:pPr>
      <w:r w:rsidRPr="00CF68B0">
        <w:rPr>
          <w:b/>
          <w:bCs/>
          <w:color w:val="000000" w:themeColor="text1"/>
          <w:sz w:val="32"/>
          <w:szCs w:val="32"/>
        </w:rPr>
        <w:t xml:space="preserve">Ground (f)  </w:t>
      </w:r>
    </w:p>
    <w:p w14:paraId="49F3F633" w14:textId="77777777" w:rsidR="00344857" w:rsidRDefault="00344857" w:rsidP="00344857">
      <w:pPr>
        <w:rPr>
          <w:sz w:val="32"/>
          <w:szCs w:val="32"/>
        </w:rPr>
      </w:pPr>
      <w:r w:rsidRPr="00CF68B0">
        <w:rPr>
          <w:sz w:val="32"/>
          <w:szCs w:val="32"/>
        </w:rPr>
        <w:t>This ground</w:t>
      </w:r>
      <w:r>
        <w:rPr>
          <w:sz w:val="32"/>
          <w:szCs w:val="32"/>
        </w:rPr>
        <w:t xml:space="preserve"> is only to be considered if ground (a) fails.</w:t>
      </w:r>
    </w:p>
    <w:p w14:paraId="2F38DE17" w14:textId="0253D1F1" w:rsidR="00344857" w:rsidRDefault="00344857" w:rsidP="00344857">
      <w:pPr>
        <w:rPr>
          <w:sz w:val="32"/>
          <w:szCs w:val="32"/>
        </w:rPr>
      </w:pPr>
      <w:r>
        <w:rPr>
          <w:sz w:val="32"/>
          <w:szCs w:val="32"/>
        </w:rPr>
        <w:t xml:space="preserve">It has been made clear there are no available gypsy sites in the district, therefore the only </w:t>
      </w:r>
      <w:r w:rsidR="009D6B94">
        <w:rPr>
          <w:sz w:val="32"/>
          <w:szCs w:val="32"/>
        </w:rPr>
        <w:t>options</w:t>
      </w:r>
      <w:r>
        <w:rPr>
          <w:sz w:val="32"/>
          <w:szCs w:val="32"/>
        </w:rPr>
        <w:t xml:space="preserve"> for the Irelands is for Aaron to buy a smaller caravan and go back on the road. This will affect his scrap and horse dealing business as he will have no base, to earn a living. His partner Shania Yeomans and three children will have to rely on being housed by the council.</w:t>
      </w:r>
      <w:r w:rsidR="009D6B94">
        <w:rPr>
          <w:sz w:val="32"/>
          <w:szCs w:val="32"/>
        </w:rPr>
        <w:t xml:space="preserve"> The other option will to be move to another piece of land, and generate another breach on this land.</w:t>
      </w:r>
    </w:p>
    <w:p w14:paraId="69AC00F7" w14:textId="4F7EC8C3" w:rsidR="0011113D" w:rsidRDefault="0011113D" w:rsidP="00344857">
      <w:pPr>
        <w:rPr>
          <w:b/>
          <w:bCs/>
          <w:sz w:val="32"/>
          <w:szCs w:val="32"/>
        </w:rPr>
      </w:pPr>
      <w:r w:rsidRPr="0011113D">
        <w:rPr>
          <w:b/>
          <w:bCs/>
          <w:sz w:val="32"/>
          <w:szCs w:val="32"/>
        </w:rPr>
        <w:t>Conclusion</w:t>
      </w:r>
    </w:p>
    <w:p w14:paraId="751E101D" w14:textId="226867B9" w:rsidR="002E38F5" w:rsidRDefault="0011113D" w:rsidP="00344857">
      <w:pPr>
        <w:rPr>
          <w:sz w:val="32"/>
          <w:szCs w:val="32"/>
        </w:rPr>
      </w:pPr>
      <w:r w:rsidRPr="0011113D">
        <w:rPr>
          <w:sz w:val="32"/>
          <w:szCs w:val="32"/>
        </w:rPr>
        <w:t>Eastleigh Borough</w:t>
      </w:r>
      <w:r>
        <w:rPr>
          <w:sz w:val="32"/>
          <w:szCs w:val="32"/>
        </w:rPr>
        <w:t xml:space="preserve"> Council have failed to meet the required sites for Travellers, within the Borough. The neighbouring local authority Winchester City Council have also failed to meet identified traveller sites within its District. </w:t>
      </w:r>
      <w:r w:rsidR="001B6100">
        <w:rPr>
          <w:sz w:val="32"/>
          <w:szCs w:val="32"/>
        </w:rPr>
        <w:t>Therefore,</w:t>
      </w:r>
      <w:r>
        <w:rPr>
          <w:sz w:val="32"/>
          <w:szCs w:val="32"/>
        </w:rPr>
        <w:t xml:space="preserve"> Aaron Ireland and his family ha</w:t>
      </w:r>
      <w:r w:rsidR="001B6100">
        <w:rPr>
          <w:sz w:val="32"/>
          <w:szCs w:val="32"/>
        </w:rPr>
        <w:t xml:space="preserve">ve </w:t>
      </w:r>
      <w:r>
        <w:rPr>
          <w:sz w:val="32"/>
          <w:szCs w:val="32"/>
        </w:rPr>
        <w:t xml:space="preserve">attempted to meet </w:t>
      </w:r>
      <w:r w:rsidR="001B6100">
        <w:rPr>
          <w:sz w:val="32"/>
          <w:szCs w:val="32"/>
        </w:rPr>
        <w:t>their</w:t>
      </w:r>
      <w:r>
        <w:rPr>
          <w:sz w:val="32"/>
          <w:szCs w:val="32"/>
        </w:rPr>
        <w:t xml:space="preserve"> residential </w:t>
      </w:r>
      <w:r w:rsidR="001B6100">
        <w:rPr>
          <w:sz w:val="32"/>
          <w:szCs w:val="32"/>
        </w:rPr>
        <w:t xml:space="preserve">needs by purchasing a piece of land near to facilities, and more importantly schools and doctor surgeries. Jason Lomas and Aron Ireland both confirm by declarations that storage has continuously taken place on the land for a period of 10 years. There has also been a track running through the site for many years. It is accepted that the track has been repaired and widened, but this was done more than 4 years prior to the service of the ENF. This is immune from enforcement due to the transitional </w:t>
      </w:r>
      <w:r w:rsidR="002E38F5">
        <w:rPr>
          <w:sz w:val="32"/>
          <w:szCs w:val="32"/>
        </w:rPr>
        <w:t>4-year</w:t>
      </w:r>
      <w:r w:rsidR="001B6100">
        <w:rPr>
          <w:sz w:val="32"/>
          <w:szCs w:val="32"/>
        </w:rPr>
        <w:t xml:space="preserve"> rule for operational development.</w:t>
      </w:r>
      <w:r w:rsidR="002E38F5">
        <w:rPr>
          <w:sz w:val="32"/>
          <w:szCs w:val="32"/>
        </w:rPr>
        <w:t xml:space="preserve"> The Appellant has no idea what “</w:t>
      </w:r>
      <w:r w:rsidR="002E38F5" w:rsidRPr="002E38F5">
        <w:rPr>
          <w:b/>
          <w:bCs/>
          <w:sz w:val="32"/>
          <w:szCs w:val="32"/>
        </w:rPr>
        <w:t>the ancillary caravan</w:t>
      </w:r>
      <w:r w:rsidR="002E38F5">
        <w:rPr>
          <w:b/>
          <w:bCs/>
          <w:sz w:val="32"/>
          <w:szCs w:val="32"/>
        </w:rPr>
        <w:t>”</w:t>
      </w:r>
      <w:r w:rsidR="002E38F5">
        <w:rPr>
          <w:sz w:val="32"/>
          <w:szCs w:val="32"/>
        </w:rPr>
        <w:t xml:space="preserve"> is as stated in the Notice.</w:t>
      </w:r>
    </w:p>
    <w:p w14:paraId="0E558EB1" w14:textId="01E7F7B4" w:rsidR="008F47EA" w:rsidRDefault="008F47EA" w:rsidP="00344857">
      <w:pPr>
        <w:rPr>
          <w:sz w:val="32"/>
          <w:szCs w:val="32"/>
        </w:rPr>
      </w:pPr>
      <w:r>
        <w:rPr>
          <w:sz w:val="32"/>
          <w:szCs w:val="32"/>
        </w:rPr>
        <w:t xml:space="preserve">No reasons in section 4 are provided to justify the alleged residential breach. Furthermore, ancillary uses are generally considered </w:t>
      </w:r>
      <w:r>
        <w:rPr>
          <w:sz w:val="32"/>
          <w:szCs w:val="32"/>
        </w:rPr>
        <w:lastRenderedPageBreak/>
        <w:t>permitted development. It is believed The Notice requires alteration and the changes required would go beyond The Inspectors powers.</w:t>
      </w:r>
    </w:p>
    <w:p w14:paraId="6B5215B1" w14:textId="77777777" w:rsidR="002E38F5" w:rsidRDefault="002E38F5" w:rsidP="00344857">
      <w:pPr>
        <w:rPr>
          <w:sz w:val="32"/>
          <w:szCs w:val="32"/>
        </w:rPr>
      </w:pPr>
    </w:p>
    <w:p w14:paraId="59F2440C" w14:textId="1480944B" w:rsidR="002E38F5" w:rsidRPr="00344857" w:rsidRDefault="002E38F5" w:rsidP="00344857">
      <w:pPr>
        <w:rPr>
          <w:sz w:val="32"/>
          <w:szCs w:val="32"/>
        </w:rPr>
      </w:pPr>
      <w:r>
        <w:rPr>
          <w:sz w:val="32"/>
          <w:szCs w:val="32"/>
        </w:rPr>
        <w:t>Aaron Ireland</w:t>
      </w:r>
    </w:p>
    <w:sectPr w:rsidR="002E38F5" w:rsidRPr="0034485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er" w:date="2026-08-17T14:19:00Z" w:initials="u">
    <w:p w14:paraId="0C5AC749" w14:textId="77777777" w:rsidR="00344857" w:rsidRDefault="00344857">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5AC74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1F7D4D" w16cex:dateUtc="2026-08-17T13: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5AC749" w16cid:durableId="581F7D4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1953BF"/>
    <w:multiLevelType w:val="multilevel"/>
    <w:tmpl w:val="308CE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894785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57"/>
    <w:rsid w:val="000C76F2"/>
    <w:rsid w:val="0011113D"/>
    <w:rsid w:val="001B6100"/>
    <w:rsid w:val="002E38F5"/>
    <w:rsid w:val="00326A49"/>
    <w:rsid w:val="00344857"/>
    <w:rsid w:val="004A3053"/>
    <w:rsid w:val="00660A38"/>
    <w:rsid w:val="00685152"/>
    <w:rsid w:val="008F47EA"/>
    <w:rsid w:val="009D6B94"/>
    <w:rsid w:val="00BB617E"/>
    <w:rsid w:val="00D04392"/>
    <w:rsid w:val="00E00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12999"/>
  <w15:chartTrackingRefBased/>
  <w15:docId w15:val="{24CC3E41-76EF-4F76-B0DC-45E8E4DD8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857"/>
  </w:style>
  <w:style w:type="paragraph" w:styleId="Heading1">
    <w:name w:val="heading 1"/>
    <w:basedOn w:val="Normal"/>
    <w:next w:val="Normal"/>
    <w:link w:val="Heading1Char"/>
    <w:uiPriority w:val="9"/>
    <w:qFormat/>
    <w:rsid w:val="003448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448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48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448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448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448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8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8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8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8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48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48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48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448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48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8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8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857"/>
    <w:rPr>
      <w:rFonts w:eastAsiaTheme="majorEastAsia" w:cstheme="majorBidi"/>
      <w:color w:val="272727" w:themeColor="text1" w:themeTint="D8"/>
    </w:rPr>
  </w:style>
  <w:style w:type="paragraph" w:styleId="Title">
    <w:name w:val="Title"/>
    <w:basedOn w:val="Normal"/>
    <w:next w:val="Normal"/>
    <w:link w:val="TitleChar"/>
    <w:uiPriority w:val="10"/>
    <w:qFormat/>
    <w:rsid w:val="003448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8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8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8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857"/>
    <w:pPr>
      <w:spacing w:before="160"/>
      <w:jc w:val="center"/>
    </w:pPr>
    <w:rPr>
      <w:i/>
      <w:iCs/>
      <w:color w:val="404040" w:themeColor="text1" w:themeTint="BF"/>
    </w:rPr>
  </w:style>
  <w:style w:type="character" w:customStyle="1" w:styleId="QuoteChar">
    <w:name w:val="Quote Char"/>
    <w:basedOn w:val="DefaultParagraphFont"/>
    <w:link w:val="Quote"/>
    <w:uiPriority w:val="29"/>
    <w:rsid w:val="00344857"/>
    <w:rPr>
      <w:i/>
      <w:iCs/>
      <w:color w:val="404040" w:themeColor="text1" w:themeTint="BF"/>
    </w:rPr>
  </w:style>
  <w:style w:type="paragraph" w:styleId="ListParagraph">
    <w:name w:val="List Paragraph"/>
    <w:basedOn w:val="Normal"/>
    <w:uiPriority w:val="34"/>
    <w:qFormat/>
    <w:rsid w:val="00344857"/>
    <w:pPr>
      <w:ind w:left="720"/>
      <w:contextualSpacing/>
    </w:pPr>
  </w:style>
  <w:style w:type="character" w:styleId="IntenseEmphasis">
    <w:name w:val="Intense Emphasis"/>
    <w:basedOn w:val="DefaultParagraphFont"/>
    <w:uiPriority w:val="21"/>
    <w:qFormat/>
    <w:rsid w:val="00344857"/>
    <w:rPr>
      <w:i/>
      <w:iCs/>
      <w:color w:val="2F5496" w:themeColor="accent1" w:themeShade="BF"/>
    </w:rPr>
  </w:style>
  <w:style w:type="paragraph" w:styleId="IntenseQuote">
    <w:name w:val="Intense Quote"/>
    <w:basedOn w:val="Normal"/>
    <w:next w:val="Normal"/>
    <w:link w:val="IntenseQuoteChar"/>
    <w:uiPriority w:val="30"/>
    <w:qFormat/>
    <w:rsid w:val="003448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44857"/>
    <w:rPr>
      <w:i/>
      <w:iCs/>
      <w:color w:val="2F5496" w:themeColor="accent1" w:themeShade="BF"/>
    </w:rPr>
  </w:style>
  <w:style w:type="character" w:styleId="IntenseReference">
    <w:name w:val="Intense Reference"/>
    <w:basedOn w:val="DefaultParagraphFont"/>
    <w:uiPriority w:val="32"/>
    <w:qFormat/>
    <w:rsid w:val="00344857"/>
    <w:rPr>
      <w:b/>
      <w:bCs/>
      <w:smallCaps/>
      <w:color w:val="2F5496" w:themeColor="accent1" w:themeShade="BF"/>
      <w:spacing w:val="5"/>
    </w:rPr>
  </w:style>
  <w:style w:type="character" w:styleId="CommentReference">
    <w:name w:val="annotation reference"/>
    <w:basedOn w:val="DefaultParagraphFont"/>
    <w:uiPriority w:val="99"/>
    <w:semiHidden/>
    <w:unhideWhenUsed/>
    <w:rsid w:val="00344857"/>
    <w:rPr>
      <w:sz w:val="16"/>
      <w:szCs w:val="16"/>
    </w:rPr>
  </w:style>
  <w:style w:type="paragraph" w:styleId="CommentText">
    <w:name w:val="annotation text"/>
    <w:basedOn w:val="Normal"/>
    <w:link w:val="CommentTextChar"/>
    <w:uiPriority w:val="99"/>
    <w:semiHidden/>
    <w:unhideWhenUsed/>
    <w:rsid w:val="00344857"/>
    <w:pPr>
      <w:spacing w:line="240" w:lineRule="auto"/>
    </w:pPr>
    <w:rPr>
      <w:sz w:val="20"/>
      <w:szCs w:val="20"/>
    </w:rPr>
  </w:style>
  <w:style w:type="character" w:customStyle="1" w:styleId="CommentTextChar">
    <w:name w:val="Comment Text Char"/>
    <w:basedOn w:val="DefaultParagraphFont"/>
    <w:link w:val="CommentText"/>
    <w:uiPriority w:val="99"/>
    <w:semiHidden/>
    <w:rsid w:val="0034485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EA308-5491-4A4B-9209-0B6BE67D3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1646</Words>
  <Characters>9383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2026-08-25T15:16:00Z</dcterms:created>
  <dcterms:modified xsi:type="dcterms:W3CDTF">2026-08-25T15:16:00Z</dcterms:modified>
</cp:coreProperties>
</file>