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Supporting Nutrient Neutrality Statement</w:t>
      </w:r>
    </w:p>
    <w:p>
      <w:r>
        <w:rPr>
          <w:b/>
        </w:rPr>
        <w:t>70 Station Road Netley Abbey Southampton SO31 5AF</w:t>
      </w:r>
    </w:p>
    <w:p>
      <w:r>
        <w:rPr>
          <w:b w:val="0"/>
          <w:sz w:val="19"/>
        </w:rPr>
        <w:t>Eastleigh Borough Council  |  Application F/26/101787</w:t>
        <w:br/>
        <w:t>Prepared by Joe’s Blooms Ltd  |  15 September 2026</w:t>
      </w:r>
    </w:p>
    <w:p>
      <w:pPr>
        <w:pStyle w:val="Heading1"/>
      </w:pPr>
      <w:r>
        <w:t>1 Purpose and assessment outcome</w:t>
      </w:r>
    </w:p>
    <w:p>
      <w:r>
        <w:rPr>
          <w:b w:val="0"/>
        </w:rPr>
        <w:t>This statement addresses the nutrient information requested in Eastleigh Borough Council’s letter of 13 August 2026 and incorporates the agent’s subsequent replies on area, drainage and occupation. It assesses conversion of the existing church ancillary/community building to one dwellinghouse. The current assessed requirement remains 1.68 kilograms of total nitrogen per year, including the calculator’s 20% precautionary buffer.</w:t>
      </w:r>
    </w:p>
    <w:p>
      <w:r>
        <w:rPr>
          <w:b w:val="0"/>
        </w:rPr>
        <w:t>The proposed approach is to secure suitable off-site nitrogen mitigation for the assessed load. No provider allocation has yet been agreed. Section 6 identifies opportunities to reduce the requirement, including water efficiency and a source-water allowance requiring Council agreement. These options have not been deducted from the current 1.68 kg annual budget.</w:t>
      </w:r>
    </w:p>
    <w:p>
      <w:pPr>
        <w:pStyle w:val="Heading1"/>
      </w:pPr>
      <w:r>
        <w:t>2 Proposal and baseline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240"/>
        <w:gridCol w:w="6840"/>
      </w:tblGrid>
      <w:tr>
        <w:trPr>
          <w:tblHeader/>
          <w:cantSplit/>
        </w:trPr>
        <w:tc>
          <w:tcPr>
            <w:tcW w:type="dxa" w:w="3240"/>
            <w:vAlign w:val="center"/>
            <w:shd w:fill="E7EDF1"/>
            <w:tcMar>
              <w:top w:w="65" w:type="dxa"/>
              <w:bottom w:w="65" w:type="dxa"/>
              <w:left w:w="90" w:type="dxa"/>
              <w:right w:w="90" w:type="dxa"/>
            </w:tcMar>
          </w:tcPr>
          <w:p>
            <w:pPr>
              <w:spacing w:after="0" w:line="252" w:lineRule="auto" w:before="0"/>
            </w:pPr>
            <w:r>
              <w:rPr>
                <w:rFonts w:ascii="Arial" w:hAnsi="Arial"/>
                <w:b/>
                <w:color w:val="000000"/>
                <w:sz w:val="20"/>
              </w:rPr>
              <w:t>Item</w:t>
            </w:r>
          </w:p>
        </w:tc>
        <w:tc>
          <w:tcPr>
            <w:tcW w:type="dxa" w:w="6840"/>
            <w:vAlign w:val="center"/>
            <w:shd w:fill="E7EDF1"/>
            <w:tcMar>
              <w:top w:w="65" w:type="dxa"/>
              <w:bottom w:w="65" w:type="dxa"/>
              <w:left w:w="90" w:type="dxa"/>
              <w:right w:w="90" w:type="dxa"/>
            </w:tcMar>
          </w:tcPr>
          <w:p>
            <w:pPr>
              <w:spacing w:after="0" w:line="252" w:lineRule="auto" w:before="0"/>
              <w:jc w:val="center"/>
            </w:pPr>
            <w:r>
              <w:rPr>
                <w:rFonts w:ascii="Arial" w:hAnsi="Arial"/>
                <w:b/>
                <w:color w:val="000000"/>
                <w:sz w:val="20"/>
              </w:rPr>
              <w:t>Assessment basis</w:t>
            </w:r>
          </w:p>
        </w:tc>
      </w:tr>
      <w:tr>
        <w:trPr>
          <w:cantSplit/>
        </w:trPr>
        <w:tc>
          <w:tcPr>
            <w:tcW w:type="dxa" w:w="3240"/>
            <w:vAlign w:val="center"/>
            <w:shd w:fill="FFFFFF"/>
            <w:tcMar>
              <w:top w:w="65" w:type="dxa"/>
              <w:bottom w:w="65" w:type="dxa"/>
              <w:left w:w="90" w:type="dxa"/>
              <w:right w:w="90" w:type="dxa"/>
            </w:tcMar>
          </w:tcPr>
          <w:p>
            <w:pPr>
              <w:spacing w:after="0" w:line="252" w:lineRule="auto" w:before="0"/>
            </w:pPr>
            <w:r>
              <w:rPr>
                <w:rFonts w:ascii="Arial" w:hAnsi="Arial"/>
                <w:b w:val="0"/>
                <w:color w:val="000000"/>
                <w:sz w:val="20"/>
              </w:rPr>
              <w:t>Applicant shown on drawings</w:t>
            </w:r>
          </w:p>
        </w:tc>
        <w:tc>
          <w:tcPr>
            <w:tcW w:type="dxa" w:w="6840"/>
            <w:vAlign w:val="center"/>
            <w:shd w:fill="FFFFFF"/>
            <w:tcMar>
              <w:top w:w="65" w:type="dxa"/>
              <w:bottom w:w="65" w:type="dxa"/>
              <w:left w:w="90" w:type="dxa"/>
              <w:right w:w="90" w:type="dxa"/>
            </w:tcMar>
          </w:tcPr>
          <w:p>
            <w:pPr>
              <w:spacing w:after="0" w:line="252" w:lineRule="auto" w:before="0"/>
            </w:pPr>
            <w:r>
              <w:rPr>
                <w:rFonts w:ascii="Arial" w:hAnsi="Arial"/>
                <w:b w:val="0"/>
                <w:color w:val="000000"/>
                <w:sz w:val="20"/>
              </w:rPr>
              <w:t>Roman Catholic Diocese of Portsmouth</w:t>
            </w:r>
          </w:p>
        </w:tc>
      </w:tr>
      <w:tr>
        <w:trPr>
          <w:cantSplit/>
        </w:trPr>
        <w:tc>
          <w:tcPr>
            <w:tcW w:type="dxa" w:w="3240"/>
            <w:vAlign w:val="center"/>
            <w:shd w:fill="FFFFFF"/>
            <w:tcMar>
              <w:top w:w="65" w:type="dxa"/>
              <w:bottom w:w="65" w:type="dxa"/>
              <w:left w:w="90" w:type="dxa"/>
              <w:right w:w="90" w:type="dxa"/>
            </w:tcMar>
          </w:tcPr>
          <w:p>
            <w:pPr>
              <w:spacing w:after="0" w:line="252" w:lineRule="auto" w:before="0"/>
            </w:pPr>
            <w:r>
              <w:rPr>
                <w:rFonts w:ascii="Arial" w:hAnsi="Arial"/>
                <w:b w:val="0"/>
                <w:color w:val="000000"/>
                <w:sz w:val="20"/>
              </w:rPr>
              <w:t>Proposal</w:t>
            </w:r>
          </w:p>
        </w:tc>
        <w:tc>
          <w:tcPr>
            <w:tcW w:type="dxa" w:w="6840"/>
            <w:vAlign w:val="center"/>
            <w:shd w:fill="FFFFFF"/>
            <w:tcMar>
              <w:top w:w="65" w:type="dxa"/>
              <w:bottom w:w="65" w:type="dxa"/>
              <w:left w:w="90" w:type="dxa"/>
              <w:right w:w="90" w:type="dxa"/>
            </w:tcMar>
          </w:tcPr>
          <w:p>
            <w:pPr>
              <w:spacing w:after="0" w:line="252" w:lineRule="auto" w:before="0"/>
            </w:pPr>
            <w:r>
              <w:rPr>
                <w:rFonts w:ascii="Arial" w:hAnsi="Arial"/>
                <w:b w:val="0"/>
                <w:color w:val="000000"/>
                <w:sz w:val="20"/>
              </w:rPr>
              <w:t>Change from church ancillary/community use to one C3 dwellinghouse</w:t>
            </w:r>
          </w:p>
        </w:tc>
      </w:tr>
      <w:tr>
        <w:trPr>
          <w:cantSplit/>
        </w:trPr>
        <w:tc>
          <w:tcPr>
            <w:tcW w:type="dxa" w:w="3240"/>
            <w:vAlign w:val="center"/>
            <w:shd w:fill="FFFFFF"/>
            <w:tcMar>
              <w:top w:w="65" w:type="dxa"/>
              <w:bottom w:w="65" w:type="dxa"/>
              <w:left w:w="90" w:type="dxa"/>
              <w:right w:w="90" w:type="dxa"/>
            </w:tcMar>
          </w:tcPr>
          <w:p>
            <w:pPr>
              <w:spacing w:after="0" w:line="252" w:lineRule="auto" w:before="0"/>
            </w:pPr>
            <w:r>
              <w:rPr>
                <w:rFonts w:ascii="Arial" w:hAnsi="Arial"/>
                <w:b w:val="0"/>
                <w:color w:val="000000"/>
                <w:sz w:val="20"/>
              </w:rPr>
              <w:t>Proposed accommodation</w:t>
            </w:r>
          </w:p>
        </w:tc>
        <w:tc>
          <w:tcPr>
            <w:tcW w:type="dxa" w:w="6840"/>
            <w:vAlign w:val="center"/>
            <w:shd w:fill="FFFFFF"/>
            <w:tcMar>
              <w:top w:w="65" w:type="dxa"/>
              <w:bottom w:w="65" w:type="dxa"/>
              <w:left w:w="90" w:type="dxa"/>
              <w:right w:w="90" w:type="dxa"/>
            </w:tcMar>
          </w:tcPr>
          <w:p>
            <w:pPr>
              <w:spacing w:after="0" w:line="252" w:lineRule="auto" w:before="0"/>
            </w:pPr>
            <w:r>
              <w:rPr>
                <w:rFonts w:ascii="Arial" w:hAnsi="Arial"/>
                <w:b w:val="0"/>
                <w:color w:val="000000"/>
                <w:sz w:val="20"/>
              </w:rPr>
              <w:t>One dwelling with four bedrooms</w:t>
            </w:r>
          </w:p>
        </w:tc>
      </w:tr>
      <w:tr>
        <w:trPr>
          <w:cantSplit/>
        </w:trPr>
        <w:tc>
          <w:tcPr>
            <w:tcW w:type="dxa" w:w="3240"/>
            <w:vAlign w:val="center"/>
            <w:shd w:fill="FFFFFF"/>
            <w:tcMar>
              <w:top w:w="65" w:type="dxa"/>
              <w:bottom w:w="65" w:type="dxa"/>
              <w:left w:w="90" w:type="dxa"/>
              <w:right w:w="90" w:type="dxa"/>
            </w:tcMar>
          </w:tcPr>
          <w:p>
            <w:pPr>
              <w:spacing w:after="0" w:line="252" w:lineRule="auto" w:before="0"/>
            </w:pPr>
            <w:r>
              <w:rPr>
                <w:rFonts w:ascii="Arial" w:hAnsi="Arial"/>
                <w:b w:val="0"/>
                <w:color w:val="000000"/>
                <w:sz w:val="20"/>
              </w:rPr>
              <w:t>Assessed land area</w:t>
            </w:r>
          </w:p>
        </w:tc>
        <w:tc>
          <w:tcPr>
            <w:tcW w:type="dxa" w:w="6840"/>
            <w:vAlign w:val="center"/>
            <w:shd w:fill="FFFFFF"/>
            <w:tcMar>
              <w:top w:w="65" w:type="dxa"/>
              <w:bottom w:w="65" w:type="dxa"/>
              <w:left w:w="90" w:type="dxa"/>
              <w:right w:w="90" w:type="dxa"/>
            </w:tcMar>
          </w:tcPr>
          <w:p>
            <w:pPr>
              <w:spacing w:after="0" w:before="0" w:line="252" w:lineRule="auto"/>
            </w:pPr>
            <w:r>
              <w:rPr>
                <w:rFonts w:ascii="Arial" w:hAnsi="Arial"/>
                <w:b w:val="0"/>
                <w:color w:val="000000"/>
                <w:sz w:val="20"/>
              </w:rPr>
              <w:t>0.087 ha, approximately 870 m²; plan-derived estimate agreed by the agent</w:t>
            </w:r>
          </w:p>
        </w:tc>
      </w:tr>
    </w:tbl>
    <w:p>
      <w:pPr>
        <w:spacing w:after="0"/>
      </w:pPr>
    </w:p>
    <w:p>
      <w:r>
        <w:rPr>
          <w:b w:val="0"/>
        </w:rPr>
        <w:t>The existing and proposed floor plans dated 2 September 2026 are the basis of this assessment. The existing rooms are presented as community/church ancillary accommodation; the proposed plans show a single house. The Council states that permission F/24/96888 has not commenced. Accordingly, no existing first-floor flat or historic priest’s residence is deducted from the new residential wastewater load.</w:t>
      </w:r>
    </w:p>
    <w:p>
      <w:r>
        <w:rPr>
          <w:b w:val="0"/>
        </w:rPr>
        <w:t>The assessment includes the narrow plot outlined in red on the block plan. The wider church land outlined in blue is excluded. The agent has agreed the approximate 870 m² / 0.087 ha area previously derived from the plan. It is retained consistently in both land-use stages. The application form should use the same area; the agreement is not represented as a new survey measurement.</w:t>
      </w:r>
    </w:p>
    <w:p>
      <w:r>
        <w:rPr>
          <w:b w:val="0"/>
        </w:rPr>
        <w:t>The Council’s request also concerns the application description and existing-use plans. Those matters should be aligned with the drawings when the nutrient material is submitted. This statement addresses the nutrient requirement in Local Validation List item 26.</w:t>
      </w:r>
    </w:p>
    <w:p>
      <w:pPr>
        <w:pStyle w:val="Heading2"/>
      </w:pPr>
      <w:r>
        <w:t>Application documents reviewed</w:t>
      </w:r>
    </w:p>
    <w:p>
      <w:r>
        <w:rPr>
          <w:b w:val="0"/>
          <w:sz w:val="19"/>
        </w:rPr>
        <w:t>Council request dated 13 August 2026; existing block plan; location plan dated 14 July 2026; block plan dated 3 September 2026; existing and proposed floor plans and elevations dated 2 September 2026, including proposed drawing 2026 041/002A; project notes from 3 September 2026; calculator screenshots supplied on 10 September 2026; and the agent’s replies supplied on 15 September 2026.</w:t>
      </w:r>
    </w:p>
    <w:p>
      <w:pPr>
        <w:pStyle w:val="Heading1"/>
        <w:pageBreakBefore/>
      </w:pPr>
      <w:r>
        <w:t>3 Catchments and wastewater pathway</w:t>
      </w:r>
    </w:p>
    <w:p>
      <w:r>
        <w:rPr>
          <w:b w:val="0"/>
        </w:rPr>
        <w:t>The site was located using the grid shown on the supplied plan. The representative building point used for the public map queries is British National Grid E445918 N108494. The operational river catchment, sewer catchment and nitrate vulnerable zone are separate datasets and serve different purposes in the assessment.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024"/>
        <w:gridCol w:w="7056"/>
      </w:tblGrid>
      <w:tr>
        <w:trPr>
          <w:tblHeader/>
          <w:cantSplit/>
        </w:trPr>
        <w:tc>
          <w:tcPr>
            <w:tcW w:type="dxa" w:w="3024"/>
            <w:vAlign w:val="center"/>
            <w:shd w:fill="E7EDF1"/>
            <w:tcMar>
              <w:top w:w="65" w:type="dxa"/>
              <w:bottom w:w="65" w:type="dxa"/>
              <w:left w:w="90" w:type="dxa"/>
              <w:right w:w="90" w:type="dxa"/>
            </w:tcMar>
          </w:tcPr>
          <w:p>
            <w:pPr>
              <w:spacing w:after="0" w:line="252" w:lineRule="auto" w:before="0"/>
            </w:pPr>
            <w:r>
              <w:rPr>
                <w:rFonts w:ascii="Arial" w:hAnsi="Arial"/>
                <w:b/>
                <w:color w:val="000000"/>
                <w:sz w:val="20"/>
              </w:rPr>
              <w:t>Dataset</w:t>
            </w:r>
          </w:p>
        </w:tc>
        <w:tc>
          <w:tcPr>
            <w:tcW w:type="dxa" w:w="7056"/>
            <w:vAlign w:val="center"/>
            <w:shd w:fill="E7EDF1"/>
            <w:tcMar>
              <w:top w:w="65" w:type="dxa"/>
              <w:bottom w:w="65" w:type="dxa"/>
              <w:left w:w="90" w:type="dxa"/>
              <w:right w:w="90" w:type="dxa"/>
            </w:tcMar>
          </w:tcPr>
          <w:p>
            <w:pPr>
              <w:spacing w:after="0" w:line="252" w:lineRule="auto" w:before="0"/>
              <w:jc w:val="center"/>
            </w:pPr>
            <w:r>
              <w:rPr>
                <w:rFonts w:ascii="Arial" w:hAnsi="Arial"/>
                <w:b/>
                <w:color w:val="000000"/>
                <w:sz w:val="20"/>
              </w:rPr>
              <w:t>Mapped finding</w:t>
            </w:r>
          </w:p>
        </w:tc>
      </w:tr>
      <w:tr>
        <w:trPr>
          <w:cantSplit/>
        </w:trPr>
        <w:tc>
          <w:tcPr>
            <w:tcW w:type="dxa" w:w="3024"/>
            <w:vAlign w:val="center"/>
            <w:shd w:fill="FFFFFF"/>
            <w:tcMar>
              <w:top w:w="65" w:type="dxa"/>
              <w:bottom w:w="65" w:type="dxa"/>
              <w:left w:w="90" w:type="dxa"/>
              <w:right w:w="90" w:type="dxa"/>
            </w:tcMar>
          </w:tcPr>
          <w:p>
            <w:pPr>
              <w:spacing w:after="0" w:line="252" w:lineRule="auto" w:before="0"/>
            </w:pPr>
            <w:r>
              <w:rPr>
                <w:rFonts w:ascii="Arial" w:hAnsi="Arial"/>
                <w:b w:val="0"/>
                <w:color w:val="000000"/>
                <w:sz w:val="20"/>
              </w:rPr>
              <w:t>Operational catchment</w:t>
            </w:r>
          </w:p>
        </w:tc>
        <w:tc>
          <w:tcPr>
            <w:tcW w:type="dxa" w:w="7056"/>
            <w:vAlign w:val="center"/>
            <w:shd w:fill="FFFFFF"/>
            <w:tcMar>
              <w:top w:w="65" w:type="dxa"/>
              <w:bottom w:w="65" w:type="dxa"/>
              <w:left w:w="90" w:type="dxa"/>
              <w:right w:w="90" w:type="dxa"/>
            </w:tcMar>
          </w:tcPr>
          <w:p>
            <w:pPr>
              <w:spacing w:after="0" w:line="252" w:lineRule="auto" w:before="0"/>
            </w:pPr>
            <w:r>
              <w:rPr>
                <w:rFonts w:ascii="Arial" w:hAnsi="Arial"/>
                <w:b w:val="0"/>
                <w:color w:val="000000"/>
                <w:sz w:val="20"/>
              </w:rPr>
              <w:t>Itchen, identifier 3237; management catchment Test and Itchen. [3]</w:t>
            </w:r>
          </w:p>
        </w:tc>
      </w:tr>
      <w:tr>
        <w:trPr>
          <w:cantSplit/>
        </w:trPr>
        <w:tc>
          <w:tcPr>
            <w:tcW w:type="dxa" w:w="3024"/>
            <w:vAlign w:val="center"/>
            <w:shd w:fill="FFFFFF"/>
            <w:tcMar>
              <w:top w:w="65" w:type="dxa"/>
              <w:bottom w:w="65" w:type="dxa"/>
              <w:left w:w="90" w:type="dxa"/>
              <w:right w:w="90" w:type="dxa"/>
            </w:tcMar>
          </w:tcPr>
          <w:p>
            <w:pPr>
              <w:spacing w:after="0" w:line="252" w:lineRule="auto" w:before="0"/>
            </w:pPr>
            <w:r>
              <w:rPr>
                <w:rFonts w:ascii="Arial" w:hAnsi="Arial"/>
                <w:b w:val="0"/>
                <w:color w:val="000000"/>
                <w:sz w:val="20"/>
              </w:rPr>
              <w:t>Southern Water sewer catchment</w:t>
            </w:r>
          </w:p>
        </w:tc>
        <w:tc>
          <w:tcPr>
            <w:tcW w:type="dxa" w:w="7056"/>
            <w:vAlign w:val="center"/>
            <w:shd w:fill="FFFFFF"/>
            <w:tcMar>
              <w:top w:w="65" w:type="dxa"/>
              <w:bottom w:w="65" w:type="dxa"/>
              <w:left w:w="90" w:type="dxa"/>
              <w:right w:w="90" w:type="dxa"/>
            </w:tcMar>
          </w:tcPr>
          <w:p>
            <w:pPr>
              <w:spacing w:after="0" w:line="252" w:lineRule="auto" w:before="0"/>
            </w:pPr>
            <w:r>
              <w:rPr>
                <w:rFonts w:ascii="Arial" w:hAnsi="Arial"/>
                <w:b w:val="0"/>
                <w:color w:val="000000"/>
                <w:sz w:val="20"/>
              </w:rPr>
              <w:t>PEEL COMMON; BoundaryId 10391. [4]</w:t>
            </w:r>
          </w:p>
        </w:tc>
      </w:tr>
      <w:tr>
        <w:trPr>
          <w:cantSplit/>
        </w:trPr>
        <w:tc>
          <w:tcPr>
            <w:tcW w:type="dxa" w:w="3024"/>
            <w:vAlign w:val="center"/>
            <w:shd w:fill="FFFFFF"/>
            <w:tcMar>
              <w:top w:w="65" w:type="dxa"/>
              <w:bottom w:w="65" w:type="dxa"/>
              <w:left w:w="90" w:type="dxa"/>
              <w:right w:w="90" w:type="dxa"/>
            </w:tcMar>
          </w:tcPr>
          <w:p>
            <w:pPr>
              <w:spacing w:after="0" w:line="252" w:lineRule="auto" w:before="0"/>
            </w:pPr>
            <w:r>
              <w:rPr>
                <w:rFonts w:ascii="Arial" w:hAnsi="Arial"/>
                <w:b w:val="0"/>
                <w:color w:val="000000"/>
                <w:sz w:val="20"/>
              </w:rPr>
              <w:t>Soil drainage</w:t>
            </w:r>
          </w:p>
        </w:tc>
        <w:tc>
          <w:tcPr>
            <w:tcW w:type="dxa" w:w="7056"/>
            <w:vAlign w:val="center"/>
            <w:shd w:fill="FFFFFF"/>
            <w:tcMar>
              <w:top w:w="65" w:type="dxa"/>
              <w:bottom w:w="65" w:type="dxa"/>
              <w:left w:w="90" w:type="dxa"/>
              <w:right w:w="90" w:type="dxa"/>
            </w:tcMar>
          </w:tcPr>
          <w:p>
            <w:pPr>
              <w:spacing w:after="0" w:line="252" w:lineRule="auto" w:before="0"/>
            </w:pPr>
            <w:r>
              <w:rPr>
                <w:rFonts w:ascii="Arial" w:hAnsi="Arial"/>
                <w:b w:val="0"/>
                <w:color w:val="000000"/>
                <w:sz w:val="20"/>
              </w:rPr>
              <w:t>Freely draining; Soilscape 6, slightly acid loamy soils. [5]</w:t>
            </w:r>
          </w:p>
        </w:tc>
      </w:tr>
      <w:tr>
        <w:trPr>
          <w:cantSplit/>
        </w:trPr>
        <w:tc>
          <w:tcPr>
            <w:tcW w:type="dxa" w:w="3024"/>
            <w:vAlign w:val="center"/>
            <w:shd w:fill="FFFFFF"/>
            <w:tcMar>
              <w:top w:w="65" w:type="dxa"/>
              <w:bottom w:w="65" w:type="dxa"/>
              <w:left w:w="90" w:type="dxa"/>
              <w:right w:w="90" w:type="dxa"/>
            </w:tcMar>
          </w:tcPr>
          <w:p>
            <w:pPr>
              <w:spacing w:after="0" w:line="252" w:lineRule="auto" w:before="0"/>
            </w:pPr>
            <w:r>
              <w:rPr>
                <w:rFonts w:ascii="Arial" w:hAnsi="Arial"/>
                <w:b w:val="0"/>
                <w:color w:val="000000"/>
                <w:sz w:val="20"/>
              </w:rPr>
              <w:t>Annual rainfall</w:t>
            </w:r>
          </w:p>
        </w:tc>
        <w:tc>
          <w:tcPr>
            <w:tcW w:type="dxa" w:w="7056"/>
            <w:vAlign w:val="center"/>
            <w:shd w:fill="FFFFFF"/>
            <w:tcMar>
              <w:top w:w="65" w:type="dxa"/>
              <w:bottom w:w="65" w:type="dxa"/>
              <w:left w:w="90" w:type="dxa"/>
              <w:right w:w="90" w:type="dxa"/>
            </w:tcMar>
          </w:tcPr>
          <w:p>
            <w:pPr>
              <w:spacing w:after="0" w:line="252" w:lineRule="auto" w:before="0"/>
            </w:pPr>
            <w:r>
              <w:rPr>
                <w:rFonts w:ascii="Arial" w:hAnsi="Arial"/>
                <w:b w:val="0"/>
                <w:color w:val="000000"/>
                <w:sz w:val="20"/>
              </w:rPr>
              <w:t>819 mm at the site; calculator band 800.1–850 mm. [6]</w:t>
            </w:r>
          </w:p>
        </w:tc>
      </w:tr>
      <w:tr>
        <w:trPr>
          <w:cantSplit/>
        </w:trPr>
        <w:tc>
          <w:tcPr>
            <w:tcW w:type="dxa" w:w="3024"/>
            <w:vAlign w:val="center"/>
            <w:shd w:fill="FFFFFF"/>
            <w:tcMar>
              <w:top w:w="65" w:type="dxa"/>
              <w:bottom w:w="65" w:type="dxa"/>
              <w:left w:w="90" w:type="dxa"/>
              <w:right w:w="90" w:type="dxa"/>
            </w:tcMar>
          </w:tcPr>
          <w:p>
            <w:pPr>
              <w:spacing w:after="0" w:line="252" w:lineRule="auto" w:before="0"/>
            </w:pPr>
            <w:r>
              <w:rPr>
                <w:rFonts w:ascii="Arial" w:hAnsi="Arial"/>
                <w:b w:val="0"/>
                <w:color w:val="000000"/>
                <w:sz w:val="20"/>
              </w:rPr>
              <w:t>Nitrate vulnerable zone</w:t>
            </w:r>
          </w:p>
        </w:tc>
        <w:tc>
          <w:tcPr>
            <w:tcW w:type="dxa" w:w="7056"/>
            <w:vAlign w:val="center"/>
            <w:shd w:fill="FFFFFF"/>
            <w:tcMar>
              <w:top w:w="65" w:type="dxa"/>
              <w:bottom w:w="65" w:type="dxa"/>
              <w:left w:w="90" w:type="dxa"/>
              <w:right w:w="90" w:type="dxa"/>
            </w:tcMar>
          </w:tcPr>
          <w:p>
            <w:pPr>
              <w:spacing w:after="0" w:line="252" w:lineRule="auto" w:before="0"/>
            </w:pPr>
            <w:r>
              <w:rPr>
                <w:rFonts w:ascii="Arial" w:hAnsi="Arial"/>
                <w:b w:val="0"/>
                <w:color w:val="000000"/>
                <w:sz w:val="20"/>
              </w:rPr>
              <w:t>Yes; Hamble Estuary Eutrophic NVZ, reference ET3. [7]</w:t>
            </w:r>
          </w:p>
        </w:tc>
      </w:tr>
    </w:tbl>
    <w:p>
      <w:pPr>
        <w:spacing w:after="0"/>
      </w:pPr>
    </w:p>
    <w:p>
      <w:pPr>
        <w:pStyle w:val="Heading2"/>
      </w:pPr>
      <w:r>
        <w:t>Foul drainage</w:t>
      </w:r>
    </w:p>
    <w:p>
      <w:r>
        <w:rPr>
          <w:b w:val="0"/>
        </w:rPr>
        <w:t>The proposed floor plan marks a connection “To Foul Sewer”. The agent confirms that the property connects to Southern Water’s public foul sewer and agrees with the mapped Peel Common assessment. The site point and checks towards the front and rear of the plot fall within Southern Water’s Peel Common sewer catchment. Together, these support retaining Peel Common WwTW as the assessed receiving works. Southern Water has not supplied a property-specific confirmation. [4]</w:t>
      </w:r>
    </w:p>
    <w:p>
      <w:r>
        <w:rPr>
          <w:b w:val="0"/>
        </w:rPr>
        <w:t>The assessed foul pathway is the building, the public foul sewer, Peel Common wastewater treatment works and its downstream coastal receiving waters in the Solent system. Natural England’s spatial guidance identifies mitigation catchments for Peel Common. The receiving works should be verified through Southern Water records or accepted by the Council on the mapped evidence before final reliance on a credit allocation. [12, 13]</w:t>
      </w:r>
    </w:p>
    <w:p>
      <w:pPr>
        <w:pStyle w:val="Heading2"/>
      </w:pPr>
      <w:r>
        <w:t>Surface water and the scope of this assessment</w:t>
      </w:r>
    </w:p>
    <w:p>
      <w:r>
        <w:rPr>
          <w:b w:val="0"/>
        </w:rPr>
        <w:t>The mapped land-use catchment is Itchen. The agent reports that the driveway drains into the ground and believes that roof drainage connects to a soakaway. Ground infiltration is therefore the working surface-water assumption; the roof connection has not been verified. Infiltration does not establish nitrogen removal or identify the eventual receiving water. The credit provider must check coverage of this component separately from the Peel Common foul discharge.</w:t>
      </w:r>
    </w:p>
    <w:p>
      <w:r>
        <w:rPr>
          <w:b w:val="0"/>
        </w:rPr>
        <w:t>This is a Solent total-nitrogen assessment. The Itchen operational-catchment label is not, by itself, evidence of a discharge to the freshwater River Itchen SAC. Any separate nutrient requirement identified by the Council would need to be assessed against the actual pathway.</w:t>
      </w:r>
    </w:p>
    <w:p>
      <w:pPr>
        <w:pStyle w:val="Heading1"/>
        <w:pageBreakBefore/>
      </w:pPr>
      <w:r>
        <w:t>4 Calculation inputs and results</w:t>
      </w:r>
    </w:p>
    <w:p>
      <w:r>
        <w:rPr>
          <w:b w:val="0"/>
        </w:rPr>
        <w:t>The calculation follows the Natural England Solent workbook linked from GOV.UK, checked on 15 September 2026. The supplied final-results screenshot records 1.68 kg TN/year. Its component values have been checked against the published formulae and the following input schedule. The agent’s replies support the assessment inputs. The completed Excel workbook should accompany this statement and use the same inputs. [1]</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392"/>
        <w:gridCol w:w="5688"/>
      </w:tblGrid>
      <w:tr>
        <w:trPr>
          <w:tblHeader/>
          <w:cantSplit/>
        </w:trPr>
        <w:tc>
          <w:tcPr>
            <w:tcW w:type="dxa" w:w="4392"/>
            <w:vAlign w:val="center"/>
            <w:shd w:fill="E7EDF1"/>
            <w:tcMar>
              <w:top w:w="65" w:type="dxa"/>
              <w:bottom w:w="65" w:type="dxa"/>
              <w:left w:w="90" w:type="dxa"/>
              <w:right w:w="90" w:type="dxa"/>
            </w:tcMar>
          </w:tcPr>
          <w:p>
            <w:pPr>
              <w:spacing w:after="0" w:line="252" w:lineRule="auto" w:before="0"/>
            </w:pPr>
            <w:r>
              <w:rPr>
                <w:rFonts w:ascii="Arial" w:hAnsi="Arial"/>
                <w:b/>
                <w:color w:val="000000"/>
                <w:sz w:val="20"/>
              </w:rPr>
              <w:t>Input</w:t>
            </w:r>
          </w:p>
        </w:tc>
        <w:tc>
          <w:tcPr>
            <w:tcW w:type="dxa" w:w="5688"/>
            <w:vAlign w:val="center"/>
            <w:shd w:fill="E7EDF1"/>
            <w:tcMar>
              <w:top w:w="65" w:type="dxa"/>
              <w:bottom w:w="65" w:type="dxa"/>
              <w:left w:w="90" w:type="dxa"/>
              <w:right w:w="90" w:type="dxa"/>
            </w:tcMar>
          </w:tcPr>
          <w:p>
            <w:pPr>
              <w:spacing w:after="0" w:line="252" w:lineRule="auto" w:before="0"/>
              <w:jc w:val="center"/>
            </w:pPr>
            <w:r>
              <w:rPr>
                <w:rFonts w:ascii="Arial" w:hAnsi="Arial"/>
                <w:b/>
                <w:color w:val="000000"/>
                <w:sz w:val="20"/>
              </w:rPr>
              <w:t>Value used</w:t>
            </w:r>
          </w:p>
        </w:tc>
      </w:tr>
      <w:tr>
        <w:trPr>
          <w:cantSplit/>
        </w:trPr>
        <w:tc>
          <w:tcPr>
            <w:tcW w:type="dxa" w:w="4392"/>
            <w:vAlign w:val="center"/>
            <w:shd w:fill="FFFFFF"/>
            <w:tcMar>
              <w:top w:w="65" w:type="dxa"/>
              <w:bottom w:w="65" w:type="dxa"/>
              <w:left w:w="90" w:type="dxa"/>
              <w:right w:w="90" w:type="dxa"/>
            </w:tcMar>
          </w:tcPr>
          <w:p>
            <w:pPr>
              <w:spacing w:after="0" w:line="252" w:lineRule="auto" w:before="0"/>
            </w:pPr>
            <w:r>
              <w:rPr>
                <w:rFonts w:ascii="Arial" w:hAnsi="Arial"/>
                <w:b w:val="0"/>
                <w:color w:val="000000"/>
                <w:sz w:val="20"/>
              </w:rPr>
              <w:t>Residential units and occupancy</w:t>
            </w:r>
          </w:p>
        </w:tc>
        <w:tc>
          <w:tcPr>
            <w:tcW w:type="dxa" w:w="5688"/>
            <w:vAlign w:val="center"/>
            <w:shd w:fill="FFFFFF"/>
            <w:tcMar>
              <w:top w:w="65" w:type="dxa"/>
              <w:bottom w:w="65" w:type="dxa"/>
              <w:left w:w="90" w:type="dxa"/>
              <w:right w:w="90" w:type="dxa"/>
            </w:tcMar>
          </w:tcPr>
          <w:p>
            <w:pPr>
              <w:spacing w:after="0" w:line="252" w:lineRule="auto" w:before="0"/>
            </w:pPr>
            <w:r>
              <w:rPr>
                <w:rFonts w:ascii="Arial" w:hAnsi="Arial"/>
                <w:b w:val="0"/>
                <w:color w:val="000000"/>
                <w:sz w:val="20"/>
              </w:rPr>
              <w:t>1 dwelling; 2.4 people per dwelling</w:t>
            </w:r>
          </w:p>
        </w:tc>
      </w:tr>
      <w:tr>
        <w:trPr>
          <w:cantSplit/>
        </w:trPr>
        <w:tc>
          <w:tcPr>
            <w:tcW w:type="dxa" w:w="4392"/>
            <w:vAlign w:val="center"/>
            <w:shd w:fill="FFFFFF"/>
            <w:tcMar>
              <w:top w:w="65" w:type="dxa"/>
              <w:bottom w:w="65" w:type="dxa"/>
              <w:left w:w="90" w:type="dxa"/>
              <w:right w:w="90" w:type="dxa"/>
            </w:tcMar>
          </w:tcPr>
          <w:p>
            <w:pPr>
              <w:spacing w:after="0" w:line="252" w:lineRule="auto" w:before="0"/>
            </w:pPr>
            <w:r>
              <w:rPr>
                <w:rFonts w:ascii="Arial" w:hAnsi="Arial"/>
                <w:b w:val="0"/>
                <w:color w:val="000000"/>
                <w:sz w:val="20"/>
              </w:rPr>
              <w:t>Water use</w:t>
            </w:r>
          </w:p>
        </w:tc>
        <w:tc>
          <w:tcPr>
            <w:tcW w:type="dxa" w:w="5688"/>
            <w:vAlign w:val="center"/>
            <w:shd w:fill="FFFFFF"/>
            <w:tcMar>
              <w:top w:w="65" w:type="dxa"/>
              <w:bottom w:w="65" w:type="dxa"/>
              <w:left w:w="90" w:type="dxa"/>
              <w:right w:w="90" w:type="dxa"/>
            </w:tcMar>
          </w:tcPr>
          <w:p>
            <w:pPr>
              <w:spacing w:after="0" w:line="252" w:lineRule="auto" w:before="0"/>
            </w:pPr>
            <w:r>
              <w:rPr>
                <w:rFonts w:ascii="Arial" w:hAnsi="Arial"/>
                <w:b w:val="0"/>
                <w:color w:val="000000"/>
                <w:sz w:val="20"/>
              </w:rPr>
              <w:t>120 litres per person per day</w:t>
            </w:r>
          </w:p>
        </w:tc>
      </w:tr>
      <w:tr>
        <w:trPr>
          <w:cantSplit/>
        </w:trPr>
        <w:tc>
          <w:tcPr>
            <w:tcW w:type="dxa" w:w="4392"/>
            <w:vAlign w:val="center"/>
            <w:shd w:fill="FFFFFF"/>
            <w:tcMar>
              <w:top w:w="65" w:type="dxa"/>
              <w:bottom w:w="65" w:type="dxa"/>
              <w:left w:w="90" w:type="dxa"/>
              <w:right w:w="90" w:type="dxa"/>
            </w:tcMar>
          </w:tcPr>
          <w:p>
            <w:pPr>
              <w:spacing w:after="0" w:line="252" w:lineRule="auto" w:before="0"/>
            </w:pPr>
            <w:r>
              <w:rPr>
                <w:rFonts w:ascii="Arial" w:hAnsi="Arial"/>
                <w:b w:val="0"/>
                <w:color w:val="000000"/>
                <w:sz w:val="20"/>
              </w:rPr>
              <w:t>Receiving treatment works</w:t>
            </w:r>
          </w:p>
        </w:tc>
        <w:tc>
          <w:tcPr>
            <w:tcW w:type="dxa" w:w="5688"/>
            <w:vAlign w:val="center"/>
            <w:shd w:fill="FFFFFF"/>
            <w:tcMar>
              <w:top w:w="65" w:type="dxa"/>
              <w:bottom w:w="65" w:type="dxa"/>
              <w:left w:w="90" w:type="dxa"/>
              <w:right w:w="90" w:type="dxa"/>
            </w:tcMar>
          </w:tcPr>
          <w:p>
            <w:pPr>
              <w:spacing w:after="0" w:line="252" w:lineRule="auto" w:before="0"/>
              <w:jc w:val="center"/>
            </w:pPr>
            <w:r>
              <w:rPr>
                <w:rFonts w:ascii="Arial" w:hAnsi="Arial"/>
                <w:b w:val="0"/>
                <w:color w:val="000000"/>
                <w:sz w:val="20"/>
              </w:rPr>
              <w:t>Peel Common WwTW</w:t>
            </w:r>
          </w:p>
        </w:tc>
      </w:tr>
      <w:tr>
        <w:trPr>
          <w:cantSplit/>
        </w:trPr>
        <w:tc>
          <w:tcPr>
            <w:tcW w:type="dxa" w:w="4392"/>
            <w:vAlign w:val="center"/>
            <w:shd w:fill="FFFFFF"/>
            <w:tcMar>
              <w:top w:w="65" w:type="dxa"/>
              <w:bottom w:w="65" w:type="dxa"/>
              <w:left w:w="90" w:type="dxa"/>
              <w:right w:w="90" w:type="dxa"/>
            </w:tcMar>
          </w:tcPr>
          <w:p>
            <w:pPr>
              <w:spacing w:after="0" w:line="252" w:lineRule="auto" w:before="0"/>
            </w:pPr>
            <w:r>
              <w:rPr>
                <w:rFonts w:ascii="Arial" w:hAnsi="Arial"/>
                <w:b w:val="0"/>
                <w:color w:val="000000"/>
                <w:sz w:val="20"/>
              </w:rPr>
              <w:t>Total nitrogen concentration</w:t>
            </w:r>
          </w:p>
        </w:tc>
        <w:tc>
          <w:tcPr>
            <w:tcW w:type="dxa" w:w="5688"/>
            <w:vAlign w:val="center"/>
            <w:shd w:fill="FFFFFF"/>
            <w:tcMar>
              <w:top w:w="65" w:type="dxa"/>
              <w:bottom w:w="65" w:type="dxa"/>
              <w:left w:w="90" w:type="dxa"/>
              <w:right w:w="90" w:type="dxa"/>
            </w:tcMar>
          </w:tcPr>
          <w:p>
            <w:pPr>
              <w:spacing w:after="0" w:line="252" w:lineRule="auto" w:before="0"/>
            </w:pPr>
            <w:r>
              <w:rPr>
                <w:rFonts w:ascii="Arial" w:hAnsi="Arial"/>
                <w:b w:val="0"/>
                <w:color w:val="000000"/>
                <w:sz w:val="20"/>
              </w:rPr>
              <w:t>9 mg TN/litre in the workbook lookup</w:t>
            </w:r>
          </w:p>
        </w:tc>
      </w:tr>
      <w:tr>
        <w:trPr>
          <w:cantSplit/>
        </w:trPr>
        <w:tc>
          <w:tcPr>
            <w:tcW w:type="dxa" w:w="4392"/>
            <w:vAlign w:val="center"/>
            <w:shd w:fill="FFFFFF"/>
            <w:tcMar>
              <w:top w:w="65" w:type="dxa"/>
              <w:bottom w:w="65" w:type="dxa"/>
              <w:left w:w="90" w:type="dxa"/>
              <w:right w:w="90" w:type="dxa"/>
            </w:tcMar>
          </w:tcPr>
          <w:p>
            <w:pPr>
              <w:spacing w:after="0" w:line="252" w:lineRule="auto" w:before="0"/>
            </w:pPr>
            <w:r>
              <w:rPr>
                <w:rFonts w:ascii="Arial" w:hAnsi="Arial"/>
                <w:b w:val="0"/>
                <w:color w:val="000000"/>
                <w:sz w:val="20"/>
              </w:rPr>
              <w:t>Deductible acceptable loading</w:t>
            </w:r>
          </w:p>
        </w:tc>
        <w:tc>
          <w:tcPr>
            <w:tcW w:type="dxa" w:w="5688"/>
            <w:vAlign w:val="center"/>
            <w:shd w:fill="FFFFFF"/>
            <w:tcMar>
              <w:top w:w="65" w:type="dxa"/>
              <w:bottom w:w="65" w:type="dxa"/>
              <w:left w:w="90" w:type="dxa"/>
              <w:right w:w="90" w:type="dxa"/>
            </w:tcMar>
          </w:tcPr>
          <w:p>
            <w:pPr>
              <w:spacing w:after="0" w:line="252" w:lineRule="auto" w:before="0"/>
            </w:pPr>
            <w:r>
              <w:rPr>
                <w:rFonts w:ascii="Arial" w:hAnsi="Arial"/>
                <w:b w:val="0"/>
                <w:color w:val="000000"/>
                <w:sz w:val="20"/>
              </w:rPr>
              <w:t>No; no separate deduction claimed</w:t>
            </w:r>
          </w:p>
        </w:tc>
      </w:tr>
      <w:tr>
        <w:trPr>
          <w:cantSplit/>
        </w:trPr>
        <w:tc>
          <w:tcPr>
            <w:tcW w:type="dxa" w:w="4392"/>
            <w:vAlign w:val="center"/>
            <w:shd w:fill="FFFFFF"/>
            <w:tcMar>
              <w:top w:w="65" w:type="dxa"/>
              <w:bottom w:w="65" w:type="dxa"/>
              <w:left w:w="90" w:type="dxa"/>
              <w:right w:w="90" w:type="dxa"/>
            </w:tcMar>
          </w:tcPr>
          <w:p>
            <w:pPr>
              <w:spacing w:after="0" w:line="252" w:lineRule="auto" w:before="0"/>
            </w:pPr>
            <w:r>
              <w:rPr>
                <w:rFonts w:ascii="Arial" w:hAnsi="Arial"/>
                <w:b w:val="0"/>
                <w:color w:val="000000"/>
                <w:sz w:val="20"/>
              </w:rPr>
              <w:t>Existing land use</w:t>
            </w:r>
          </w:p>
        </w:tc>
        <w:tc>
          <w:tcPr>
            <w:tcW w:type="dxa" w:w="5688"/>
            <w:vAlign w:val="center"/>
            <w:shd w:fill="FFFFFF"/>
            <w:tcMar>
              <w:top w:w="65" w:type="dxa"/>
              <w:bottom w:w="65" w:type="dxa"/>
              <w:left w:w="90" w:type="dxa"/>
              <w:right w:w="90" w:type="dxa"/>
            </w:tcMar>
          </w:tcPr>
          <w:p>
            <w:pPr>
              <w:spacing w:after="0" w:line="252" w:lineRule="auto" w:before="0"/>
              <w:jc w:val="center"/>
            </w:pPr>
            <w:r>
              <w:rPr>
                <w:rFonts w:ascii="Arial" w:hAnsi="Arial"/>
                <w:b w:val="0"/>
                <w:color w:val="000000"/>
                <w:sz w:val="20"/>
              </w:rPr>
              <w:t>Open urban land; 0.087 ha</w:t>
            </w:r>
          </w:p>
        </w:tc>
      </w:tr>
      <w:tr>
        <w:trPr>
          <w:cantSplit/>
        </w:trPr>
        <w:tc>
          <w:tcPr>
            <w:tcW w:type="dxa" w:w="4392"/>
            <w:vAlign w:val="center"/>
            <w:shd w:fill="FFFFFF"/>
            <w:tcMar>
              <w:top w:w="65" w:type="dxa"/>
              <w:bottom w:w="65" w:type="dxa"/>
              <w:left w:w="90" w:type="dxa"/>
              <w:right w:w="90" w:type="dxa"/>
            </w:tcMar>
          </w:tcPr>
          <w:p>
            <w:pPr>
              <w:spacing w:after="0" w:line="252" w:lineRule="auto" w:before="0"/>
            </w:pPr>
            <w:r>
              <w:rPr>
                <w:rFonts w:ascii="Arial" w:hAnsi="Arial"/>
                <w:b w:val="0"/>
                <w:color w:val="000000"/>
                <w:sz w:val="20"/>
              </w:rPr>
              <w:t>Future land use</w:t>
            </w:r>
          </w:p>
        </w:tc>
        <w:tc>
          <w:tcPr>
            <w:tcW w:type="dxa" w:w="5688"/>
            <w:vAlign w:val="center"/>
            <w:shd w:fill="FFFFFF"/>
            <w:tcMar>
              <w:top w:w="65" w:type="dxa"/>
              <w:bottom w:w="65" w:type="dxa"/>
              <w:left w:w="90" w:type="dxa"/>
              <w:right w:w="90" w:type="dxa"/>
            </w:tcMar>
          </w:tcPr>
          <w:p>
            <w:pPr>
              <w:spacing w:after="0" w:line="252" w:lineRule="auto" w:before="0"/>
            </w:pPr>
            <w:r>
              <w:rPr>
                <w:rFonts w:ascii="Arial" w:hAnsi="Arial"/>
                <w:b w:val="0"/>
                <w:color w:val="000000"/>
                <w:sz w:val="20"/>
              </w:rPr>
              <w:t>Residential urban land; 0.087 ha</w:t>
            </w:r>
          </w:p>
        </w:tc>
      </w:tr>
      <w:tr>
        <w:trPr>
          <w:cantSplit/>
        </w:trPr>
        <w:tc>
          <w:tcPr>
            <w:tcW w:type="dxa" w:w="4392"/>
            <w:vAlign w:val="center"/>
            <w:shd w:fill="FFFFFF"/>
            <w:tcMar>
              <w:top w:w="65" w:type="dxa"/>
              <w:bottom w:w="65" w:type="dxa"/>
              <w:left w:w="90" w:type="dxa"/>
              <w:right w:w="90" w:type="dxa"/>
            </w:tcMar>
          </w:tcPr>
          <w:p>
            <w:pPr>
              <w:spacing w:after="0" w:line="252" w:lineRule="auto" w:before="0"/>
            </w:pPr>
            <w:r>
              <w:rPr>
                <w:rFonts w:ascii="Arial" w:hAnsi="Arial"/>
                <w:b w:val="0"/>
                <w:color w:val="000000"/>
                <w:sz w:val="20"/>
              </w:rPr>
              <w:t>Soil and rainfall</w:t>
            </w:r>
          </w:p>
        </w:tc>
        <w:tc>
          <w:tcPr>
            <w:tcW w:type="dxa" w:w="5688"/>
            <w:vAlign w:val="center"/>
            <w:shd w:fill="FFFFFF"/>
            <w:tcMar>
              <w:top w:w="65" w:type="dxa"/>
              <w:bottom w:w="65" w:type="dxa"/>
              <w:left w:w="90" w:type="dxa"/>
              <w:right w:w="90" w:type="dxa"/>
            </w:tcMar>
          </w:tcPr>
          <w:p>
            <w:pPr>
              <w:spacing w:after="0" w:line="252" w:lineRule="auto" w:before="0"/>
            </w:pPr>
            <w:r>
              <w:rPr>
                <w:rFonts w:ascii="Arial" w:hAnsi="Arial"/>
                <w:b w:val="0"/>
                <w:color w:val="000000"/>
                <w:sz w:val="20"/>
              </w:rPr>
              <w:t>Freely draining; 800.1–850 mm</w:t>
            </w:r>
          </w:p>
        </w:tc>
      </w:tr>
      <w:tr>
        <w:trPr>
          <w:cantSplit/>
        </w:trPr>
        <w:tc>
          <w:tcPr>
            <w:tcW w:type="dxa" w:w="4392"/>
            <w:vAlign w:val="center"/>
            <w:shd w:fill="FFFFFF"/>
            <w:tcMar>
              <w:top w:w="65" w:type="dxa"/>
              <w:bottom w:w="65" w:type="dxa"/>
              <w:left w:w="90" w:type="dxa"/>
              <w:right w:w="90" w:type="dxa"/>
            </w:tcMar>
          </w:tcPr>
          <w:p>
            <w:pPr>
              <w:spacing w:after="0" w:line="252" w:lineRule="auto" w:before="0"/>
            </w:pPr>
            <w:r>
              <w:rPr>
                <w:rFonts w:ascii="Arial" w:hAnsi="Arial"/>
                <w:b w:val="0"/>
                <w:color w:val="000000"/>
                <w:sz w:val="20"/>
              </w:rPr>
              <w:t>SuDS nutrient removal</w:t>
            </w:r>
          </w:p>
        </w:tc>
        <w:tc>
          <w:tcPr>
            <w:tcW w:type="dxa" w:w="5688"/>
            <w:vAlign w:val="center"/>
            <w:shd w:fill="FFFFFF"/>
            <w:tcMar>
              <w:top w:w="65" w:type="dxa"/>
              <w:bottom w:w="65" w:type="dxa"/>
              <w:left w:w="90" w:type="dxa"/>
              <w:right w:w="90" w:type="dxa"/>
            </w:tcMar>
          </w:tcPr>
          <w:p>
            <w:pPr>
              <w:spacing w:after="0" w:line="252" w:lineRule="auto" w:before="0"/>
            </w:pPr>
            <w:r>
              <w:rPr>
                <w:rFonts w:ascii="Arial" w:hAnsi="Arial"/>
                <w:b w:val="0"/>
                <w:color w:val="000000"/>
                <w:sz w:val="20"/>
              </w:rPr>
              <w:t>0 kg TN/year; no deduction claimed</w:t>
            </w:r>
          </w:p>
        </w:tc>
      </w:tr>
      <w:tr>
        <w:trPr>
          <w:cantSplit/>
        </w:trPr>
        <w:tc>
          <w:tcPr>
            <w:tcW w:type="dxa" w:w="4392"/>
            <w:vAlign w:val="center"/>
            <w:shd w:fill="FFFFFF"/>
            <w:tcMar>
              <w:top w:w="65" w:type="dxa"/>
              <w:bottom w:w="65" w:type="dxa"/>
              <w:left w:w="90" w:type="dxa"/>
              <w:right w:w="90" w:type="dxa"/>
            </w:tcMar>
          </w:tcPr>
          <w:p>
            <w:pPr>
              <w:spacing w:after="0" w:before="0" w:line="252" w:lineRule="auto"/>
            </w:pPr>
            <w:r>
              <w:rPr>
                <w:rFonts w:ascii="Arial" w:hAnsi="Arial"/>
                <w:b w:val="0"/>
                <w:color w:val="000000"/>
                <w:sz w:val="20"/>
              </w:rPr>
              <w:t>Assumed first occupation</w:t>
            </w:r>
          </w:p>
        </w:tc>
        <w:tc>
          <w:tcPr>
            <w:tcW w:type="dxa" w:w="5688"/>
            <w:vAlign w:val="center"/>
            <w:shd w:fill="FFFFFF"/>
            <w:tcMar>
              <w:top w:w="65" w:type="dxa"/>
              <w:bottom w:w="65" w:type="dxa"/>
              <w:left w:w="90" w:type="dxa"/>
              <w:right w:w="90" w:type="dxa"/>
            </w:tcMar>
          </w:tcPr>
          <w:p>
            <w:pPr>
              <w:spacing w:after="0" w:before="0" w:line="252" w:lineRule="auto"/>
            </w:pPr>
            <w:r>
              <w:rPr>
                <w:rFonts w:ascii="Arial" w:hAnsi="Arial"/>
                <w:b w:val="0"/>
                <w:color w:val="000000"/>
                <w:sz w:val="20"/>
              </w:rPr>
              <w:t>01/12/2026; agent anticipates late 2026 / early 2027</w:t>
            </w:r>
          </w:p>
        </w:tc>
      </w:tr>
    </w:tbl>
    <w:p>
      <w:pPr>
        <w:spacing w:after="0"/>
      </w:pPr>
    </w:p>
    <w:p>
      <w:r>
        <w:rPr>
          <w:b w:val="0"/>
        </w:rPr>
        <w:t>Open urban land remains the closest match for the community facility and grounds. The future residential category includes the house, garden, drive and parking. The agent’s drainage replies do not change these categories or support a quantified SuDS deduction. Any refinement must reflect the actual land uses and the current methodology. [2]</w:t>
      </w:r>
    </w:p>
    <w:p>
      <w:r>
        <w:rPr>
          <w:b w:val="0"/>
        </w:rPr>
        <w:t>The agent anticipates occupation after sale in late 2026 or early 2027. An assumed date of 1 December 2026 is adopted for assessment and should be entered in wastewater cell B5. This is not a confirmed completion date. The published Peel Common lookup remains 9 mg TN/litre across its permit periods without the optional allowance, so occupation in late 2026 rather than early 2027 does not change this result. [1]</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7416"/>
        <w:gridCol w:w="2664"/>
      </w:tblGrid>
      <w:tr>
        <w:trPr>
          <w:tblHeader/>
          <w:cantSplit/>
        </w:trPr>
        <w:tc>
          <w:tcPr>
            <w:tcW w:type="dxa" w:w="7416"/>
            <w:vAlign w:val="center"/>
            <w:shd w:fill="E7EDF1"/>
            <w:tcMar>
              <w:top w:w="65" w:type="dxa"/>
              <w:bottom w:w="65" w:type="dxa"/>
              <w:left w:w="90" w:type="dxa"/>
              <w:right w:w="90" w:type="dxa"/>
            </w:tcMar>
          </w:tcPr>
          <w:p>
            <w:pPr>
              <w:spacing w:after="0" w:line="252" w:lineRule="auto" w:before="0"/>
            </w:pPr>
            <w:r>
              <w:rPr>
                <w:rFonts w:ascii="Arial" w:hAnsi="Arial"/>
                <w:b/>
                <w:color w:val="000000"/>
                <w:sz w:val="20"/>
              </w:rPr>
              <w:t>Budget component</w:t>
            </w:r>
          </w:p>
        </w:tc>
        <w:tc>
          <w:tcPr>
            <w:tcW w:type="dxa" w:w="2664"/>
            <w:vAlign w:val="center"/>
            <w:shd w:fill="E7EDF1"/>
            <w:tcMar>
              <w:top w:w="65" w:type="dxa"/>
              <w:bottom w:w="65" w:type="dxa"/>
              <w:left w:w="90" w:type="dxa"/>
              <w:right w:w="90" w:type="dxa"/>
            </w:tcMar>
          </w:tcPr>
          <w:p>
            <w:pPr>
              <w:spacing w:after="0" w:line="252" w:lineRule="auto" w:before="0"/>
              <w:jc w:val="center"/>
            </w:pPr>
            <w:r>
              <w:rPr>
                <w:rFonts w:ascii="Arial" w:hAnsi="Arial"/>
                <w:b/>
                <w:color w:val="000000"/>
                <w:sz w:val="20"/>
              </w:rPr>
              <w:t>kg TN per year</w:t>
            </w:r>
          </w:p>
        </w:tc>
      </w:tr>
      <w:tr>
        <w:trPr>
          <w:cantSplit/>
        </w:trPr>
        <w:tc>
          <w:tcPr>
            <w:tcW w:type="dxa" w:w="7416"/>
            <w:vAlign w:val="center"/>
            <w:shd w:fill="FFFFFF"/>
            <w:tcMar>
              <w:top w:w="65" w:type="dxa"/>
              <w:bottom w:w="65" w:type="dxa"/>
              <w:left w:w="90" w:type="dxa"/>
              <w:right w:w="90" w:type="dxa"/>
            </w:tcMar>
          </w:tcPr>
          <w:p>
            <w:pPr>
              <w:spacing w:after="0" w:line="252" w:lineRule="auto" w:before="0"/>
            </w:pPr>
            <w:r>
              <w:rPr>
                <w:rFonts w:ascii="Arial" w:hAnsi="Arial"/>
                <w:b w:val="0"/>
                <w:color w:val="000000"/>
                <w:sz w:val="20"/>
              </w:rPr>
              <w:t>Wastewater</w:t>
            </w:r>
          </w:p>
        </w:tc>
        <w:tc>
          <w:tcPr>
            <w:tcW w:type="dxa" w:w="2664"/>
            <w:vAlign w:val="center"/>
            <w:shd w:fill="FFFFFF"/>
            <w:tcMar>
              <w:top w:w="65" w:type="dxa"/>
              <w:bottom w:w="65" w:type="dxa"/>
              <w:left w:w="90" w:type="dxa"/>
              <w:right w:w="90" w:type="dxa"/>
            </w:tcMar>
          </w:tcPr>
          <w:p>
            <w:pPr>
              <w:spacing w:after="0" w:line="252" w:lineRule="auto" w:before="0"/>
              <w:jc w:val="center"/>
            </w:pPr>
            <w:r>
              <w:rPr>
                <w:rFonts w:ascii="Arial" w:hAnsi="Arial"/>
                <w:b w:val="0"/>
                <w:color w:val="000000"/>
                <w:sz w:val="20"/>
              </w:rPr>
              <w:t>0.85</w:t>
            </w:r>
          </w:p>
        </w:tc>
      </w:tr>
      <w:tr>
        <w:trPr>
          <w:cantSplit/>
        </w:trPr>
        <w:tc>
          <w:tcPr>
            <w:tcW w:type="dxa" w:w="7416"/>
            <w:vAlign w:val="center"/>
            <w:shd w:fill="FFFFFF"/>
            <w:tcMar>
              <w:top w:w="65" w:type="dxa"/>
              <w:bottom w:w="65" w:type="dxa"/>
              <w:left w:w="90" w:type="dxa"/>
              <w:right w:w="90" w:type="dxa"/>
            </w:tcMar>
          </w:tcPr>
          <w:p>
            <w:pPr>
              <w:spacing w:after="0" w:line="252" w:lineRule="auto" w:before="0"/>
            </w:pPr>
            <w:r>
              <w:rPr>
                <w:rFonts w:ascii="Arial" w:hAnsi="Arial"/>
                <w:b w:val="0"/>
                <w:color w:val="000000"/>
                <w:sz w:val="20"/>
              </w:rPr>
              <w:t>Existing land-use load</w:t>
            </w:r>
          </w:p>
        </w:tc>
        <w:tc>
          <w:tcPr>
            <w:tcW w:type="dxa" w:w="2664"/>
            <w:vAlign w:val="center"/>
            <w:shd w:fill="FFFFFF"/>
            <w:tcMar>
              <w:top w:w="65" w:type="dxa"/>
              <w:bottom w:w="65" w:type="dxa"/>
              <w:left w:w="90" w:type="dxa"/>
              <w:right w:w="90" w:type="dxa"/>
            </w:tcMar>
          </w:tcPr>
          <w:p>
            <w:pPr>
              <w:spacing w:after="0" w:line="252" w:lineRule="auto" w:before="0"/>
              <w:jc w:val="center"/>
            </w:pPr>
            <w:r>
              <w:rPr>
                <w:rFonts w:ascii="Arial" w:hAnsi="Arial"/>
                <w:b w:val="0"/>
                <w:color w:val="000000"/>
                <w:sz w:val="20"/>
              </w:rPr>
              <w:t>0.79</w:t>
            </w:r>
          </w:p>
        </w:tc>
      </w:tr>
      <w:tr>
        <w:trPr>
          <w:cantSplit/>
        </w:trPr>
        <w:tc>
          <w:tcPr>
            <w:tcW w:type="dxa" w:w="7416"/>
            <w:vAlign w:val="center"/>
            <w:shd w:fill="FFFFFF"/>
            <w:tcMar>
              <w:top w:w="65" w:type="dxa"/>
              <w:bottom w:w="65" w:type="dxa"/>
              <w:left w:w="90" w:type="dxa"/>
              <w:right w:w="90" w:type="dxa"/>
            </w:tcMar>
          </w:tcPr>
          <w:p>
            <w:pPr>
              <w:spacing w:after="0" w:line="252" w:lineRule="auto" w:before="0"/>
            </w:pPr>
            <w:r>
              <w:rPr>
                <w:rFonts w:ascii="Arial" w:hAnsi="Arial"/>
                <w:b w:val="0"/>
                <w:color w:val="000000"/>
                <w:sz w:val="20"/>
              </w:rPr>
              <w:t>Future land-use load</w:t>
            </w:r>
          </w:p>
        </w:tc>
        <w:tc>
          <w:tcPr>
            <w:tcW w:type="dxa" w:w="2664"/>
            <w:vAlign w:val="center"/>
            <w:shd w:fill="FFFFFF"/>
            <w:tcMar>
              <w:top w:w="65" w:type="dxa"/>
              <w:bottom w:w="65" w:type="dxa"/>
              <w:left w:w="90" w:type="dxa"/>
              <w:right w:w="90" w:type="dxa"/>
            </w:tcMar>
          </w:tcPr>
          <w:p>
            <w:pPr>
              <w:spacing w:after="0" w:line="252" w:lineRule="auto" w:before="0"/>
              <w:jc w:val="center"/>
            </w:pPr>
            <w:r>
              <w:rPr>
                <w:rFonts w:ascii="Arial" w:hAnsi="Arial"/>
                <w:b w:val="0"/>
                <w:color w:val="000000"/>
                <w:sz w:val="20"/>
              </w:rPr>
              <w:t>1.34</w:t>
            </w:r>
          </w:p>
        </w:tc>
      </w:tr>
      <w:tr>
        <w:trPr>
          <w:cantSplit/>
        </w:trPr>
        <w:tc>
          <w:tcPr>
            <w:tcW w:type="dxa" w:w="7416"/>
            <w:vAlign w:val="center"/>
            <w:shd w:fill="FFFFFF"/>
            <w:tcMar>
              <w:top w:w="65" w:type="dxa"/>
              <w:bottom w:w="65" w:type="dxa"/>
              <w:left w:w="90" w:type="dxa"/>
              <w:right w:w="90" w:type="dxa"/>
            </w:tcMar>
          </w:tcPr>
          <w:p>
            <w:pPr>
              <w:spacing w:after="0" w:line="252" w:lineRule="auto" w:before="0"/>
            </w:pPr>
            <w:r>
              <w:rPr>
                <w:rFonts w:ascii="Arial" w:hAnsi="Arial"/>
                <w:b w:val="0"/>
                <w:color w:val="000000"/>
                <w:sz w:val="20"/>
              </w:rPr>
              <w:t>Net land-use increase</w:t>
            </w:r>
          </w:p>
        </w:tc>
        <w:tc>
          <w:tcPr>
            <w:tcW w:type="dxa" w:w="2664"/>
            <w:vAlign w:val="center"/>
            <w:shd w:fill="FFFFFF"/>
            <w:tcMar>
              <w:top w:w="65" w:type="dxa"/>
              <w:bottom w:w="65" w:type="dxa"/>
              <w:left w:w="90" w:type="dxa"/>
              <w:right w:w="90" w:type="dxa"/>
            </w:tcMar>
          </w:tcPr>
          <w:p>
            <w:pPr>
              <w:spacing w:after="0" w:line="252" w:lineRule="auto" w:before="0"/>
              <w:jc w:val="center"/>
            </w:pPr>
            <w:r>
              <w:rPr>
                <w:rFonts w:ascii="Arial" w:hAnsi="Arial"/>
                <w:b w:val="0"/>
                <w:color w:val="000000"/>
                <w:sz w:val="20"/>
              </w:rPr>
              <w:t>0.55</w:t>
            </w:r>
          </w:p>
        </w:tc>
      </w:tr>
      <w:tr>
        <w:trPr>
          <w:cantSplit/>
        </w:trPr>
        <w:tc>
          <w:tcPr>
            <w:tcW w:type="dxa" w:w="7416"/>
            <w:vAlign w:val="center"/>
            <w:shd w:fill="FFFFFF"/>
            <w:tcMar>
              <w:top w:w="65" w:type="dxa"/>
              <w:bottom w:w="65" w:type="dxa"/>
              <w:left w:w="90" w:type="dxa"/>
              <w:right w:w="90" w:type="dxa"/>
            </w:tcMar>
          </w:tcPr>
          <w:p>
            <w:pPr>
              <w:spacing w:after="0" w:line="252" w:lineRule="auto" w:before="0"/>
            </w:pPr>
            <w:r>
              <w:rPr>
                <w:rFonts w:ascii="Arial" w:hAnsi="Arial"/>
                <w:b w:val="0"/>
                <w:color w:val="000000"/>
                <w:sz w:val="20"/>
              </w:rPr>
              <w:t>Total before buffer</w:t>
            </w:r>
          </w:p>
        </w:tc>
        <w:tc>
          <w:tcPr>
            <w:tcW w:type="dxa" w:w="2664"/>
            <w:vAlign w:val="center"/>
            <w:shd w:fill="FFFFFF"/>
            <w:tcMar>
              <w:top w:w="65" w:type="dxa"/>
              <w:bottom w:w="65" w:type="dxa"/>
              <w:left w:w="90" w:type="dxa"/>
              <w:right w:w="90" w:type="dxa"/>
            </w:tcMar>
          </w:tcPr>
          <w:p>
            <w:pPr>
              <w:spacing w:after="0" w:line="252" w:lineRule="auto" w:before="0"/>
              <w:jc w:val="center"/>
            </w:pPr>
            <w:r>
              <w:rPr>
                <w:rFonts w:ascii="Arial" w:hAnsi="Arial"/>
                <w:b w:val="0"/>
                <w:color w:val="000000"/>
                <w:sz w:val="20"/>
              </w:rPr>
              <w:t>1.40</w:t>
            </w:r>
          </w:p>
        </w:tc>
      </w:tr>
      <w:tr>
        <w:trPr>
          <w:cantSplit/>
        </w:trPr>
        <w:tc>
          <w:tcPr>
            <w:tcW w:type="dxa" w:w="7416"/>
            <w:vAlign w:val="center"/>
            <w:shd w:fill="FFFFFF"/>
            <w:tcMar>
              <w:top w:w="65" w:type="dxa"/>
              <w:bottom w:w="65" w:type="dxa"/>
              <w:left w:w="90" w:type="dxa"/>
              <w:right w:w="90" w:type="dxa"/>
            </w:tcMar>
          </w:tcPr>
          <w:p>
            <w:pPr>
              <w:spacing w:after="0" w:line="252" w:lineRule="auto" w:before="0"/>
            </w:pPr>
            <w:r>
              <w:rPr>
                <w:rFonts w:ascii="Arial" w:hAnsi="Arial"/>
                <w:b w:val="0"/>
                <w:color w:val="000000"/>
                <w:sz w:val="20"/>
              </w:rPr>
              <w:t>Total including 20% buffer</w:t>
            </w:r>
          </w:p>
        </w:tc>
        <w:tc>
          <w:tcPr>
            <w:tcW w:type="dxa" w:w="2664"/>
            <w:vAlign w:val="center"/>
            <w:shd w:fill="FFFFFF"/>
            <w:tcMar>
              <w:top w:w="65" w:type="dxa"/>
              <w:bottom w:w="65" w:type="dxa"/>
              <w:left w:w="90" w:type="dxa"/>
              <w:right w:w="90" w:type="dxa"/>
            </w:tcMar>
          </w:tcPr>
          <w:p>
            <w:pPr>
              <w:spacing w:after="0" w:line="252" w:lineRule="auto" w:before="0"/>
              <w:jc w:val="center"/>
            </w:pPr>
            <w:r>
              <w:rPr>
                <w:rFonts w:ascii="Arial" w:hAnsi="Arial"/>
                <w:b w:val="0"/>
                <w:color w:val="000000"/>
                <w:sz w:val="20"/>
              </w:rPr>
              <w:t>1.68</w:t>
            </w:r>
          </w:p>
        </w:tc>
      </w:tr>
    </w:tbl>
    <w:p>
      <w:pPr>
        <w:spacing w:after="0"/>
      </w:pPr>
    </w:p>
    <w:p>
      <w:r>
        <w:rPr>
          <w:b w:val="0"/>
          <w:sz w:val="19"/>
        </w:rPr>
        <w:t>The wastewater formula uses 288 litres/day, 9 mg TN/litre, its built-in 0.9 factor and 365.25 days/year, giving 0.852055 kg before rounding to 0.85. Land-use factors of 9.064712 and 15.377637 kg TN/ha/year give a net change of 0.549224 kg/year. Workbook rounding produces the reported total of 1.68 kg TN/year. [1]</w:t>
      </w:r>
    </w:p>
    <w:p>
      <w:pPr>
        <w:pStyle w:val="Heading1"/>
        <w:pageBreakBefore/>
      </w:pPr>
      <w:r>
        <w:t>5 Appropriate mitigation and credit route</w:t>
      </w:r>
    </w:p>
    <w:p>
      <w:r>
        <w:rPr>
          <w:b w:val="0"/>
        </w:rPr>
        <w:t>An off-site credit arrangement remains the practical route for the residual load from this single-house conversion. Obtain competing quotations after checking the reduction options in section 6. The package must cover the affected receiving waters and the duration of the development’s effects, with sufficiently certain delivery, funding and management for the Council’s assessment. [14]</w:t>
      </w:r>
    </w:p>
    <w:p>
      <w:pPr>
        <w:pStyle w:val="Heading2"/>
      </w:pPr>
      <w:r>
        <w:t>Recommended enquiries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600"/>
        <w:gridCol w:w="6480"/>
      </w:tblGrid>
      <w:tr>
        <w:trPr>
          <w:tblHeader/>
          <w:cantSplit/>
        </w:trPr>
        <w:tc>
          <w:tcPr>
            <w:tcW w:type="dxa" w:w="3600"/>
            <w:vAlign w:val="center"/>
            <w:shd w:fill="E7EDF1"/>
            <w:tcMar>
              <w:top w:w="65" w:type="dxa"/>
              <w:bottom w:w="65" w:type="dxa"/>
              <w:left w:w="90" w:type="dxa"/>
              <w:right w:w="90" w:type="dxa"/>
            </w:tcMar>
          </w:tcPr>
          <w:p>
            <w:pPr>
              <w:spacing w:after="0" w:line="252" w:lineRule="auto" w:before="0"/>
            </w:pPr>
            <w:r>
              <w:rPr>
                <w:rFonts w:ascii="Arial" w:hAnsi="Arial"/>
                <w:b/>
                <w:color w:val="000000"/>
                <w:sz w:val="20"/>
              </w:rPr>
              <w:t>Route</w:t>
            </w:r>
          </w:p>
        </w:tc>
        <w:tc>
          <w:tcPr>
            <w:tcW w:type="dxa" w:w="6480"/>
            <w:vAlign w:val="center"/>
            <w:shd w:fill="E7EDF1"/>
            <w:tcMar>
              <w:top w:w="65" w:type="dxa"/>
              <w:bottom w:w="65" w:type="dxa"/>
              <w:left w:w="90" w:type="dxa"/>
              <w:right w:w="90" w:type="dxa"/>
            </w:tcMar>
          </w:tcPr>
          <w:p>
            <w:pPr>
              <w:spacing w:after="0" w:line="252" w:lineRule="auto" w:before="0"/>
            </w:pPr>
            <w:r>
              <w:rPr>
                <w:rFonts w:ascii="Arial" w:hAnsi="Arial"/>
                <w:b/>
                <w:color w:val="000000"/>
                <w:sz w:val="20"/>
              </w:rPr>
              <w:t>Relevance to this application</w:t>
            </w:r>
          </w:p>
        </w:tc>
      </w:tr>
      <w:tr>
        <w:trPr>
          <w:cantSplit/>
        </w:trPr>
        <w:tc>
          <w:tcPr>
            <w:tcW w:type="dxa" w:w="3600"/>
            <w:vAlign w:val="center"/>
            <w:shd w:fill="FFFFFF"/>
            <w:tcMar>
              <w:top w:w="65" w:type="dxa"/>
              <w:bottom w:w="65" w:type="dxa"/>
              <w:left w:w="90" w:type="dxa"/>
              <w:right w:w="90" w:type="dxa"/>
            </w:tcMar>
          </w:tcPr>
          <w:p>
            <w:pPr>
              <w:spacing w:after="0" w:before="0" w:line="252" w:lineRule="auto"/>
            </w:pPr>
            <w:r>
              <w:rPr>
                <w:rFonts w:ascii="Arial" w:hAnsi="Arial"/>
                <w:b w:val="0"/>
                <w:color w:val="000000"/>
                <w:sz w:val="20"/>
              </w:rPr>
              <w:t>Meon Springs Whitewool Stream Wetland</w:t>
            </w:r>
          </w:p>
        </w:tc>
        <w:tc>
          <w:tcPr>
            <w:tcW w:type="dxa" w:w="6480"/>
            <w:vAlign w:val="center"/>
            <w:shd w:fill="FFFFFF"/>
            <w:tcMar>
              <w:top w:w="65" w:type="dxa"/>
              <w:bottom w:w="65" w:type="dxa"/>
              <w:left w:w="90" w:type="dxa"/>
              <w:right w:w="90" w:type="dxa"/>
            </w:tcMar>
          </w:tcPr>
          <w:p>
            <w:pPr>
              <w:spacing w:after="0" w:before="0" w:line="252" w:lineRule="auto"/>
            </w:pPr>
            <w:r>
              <w:rPr>
                <w:rFonts w:ascii="Arial" w:hAnsi="Arial"/>
                <w:b w:val="0"/>
                <w:color w:val="000000"/>
                <w:sz w:val="20"/>
              </w:rPr>
              <w:t>First enquiry for the foul component. The provider expressly includes Eastleigh applications draining to Peel Common, subject to written agreement. Contact Jamie Butler at jamie@meonsprings.com. [15]</w:t>
            </w:r>
          </w:p>
        </w:tc>
      </w:tr>
      <w:tr>
        <w:trPr>
          <w:cantSplit/>
        </w:trPr>
        <w:tc>
          <w:tcPr>
            <w:tcW w:type="dxa" w:w="3600"/>
            <w:vAlign w:val="center"/>
            <w:shd w:fill="FFFFFF"/>
            <w:tcMar>
              <w:top w:w="65" w:type="dxa"/>
              <w:bottom w:w="65" w:type="dxa"/>
              <w:left w:w="90" w:type="dxa"/>
              <w:right w:w="90" w:type="dxa"/>
            </w:tcMar>
          </w:tcPr>
          <w:p>
            <w:pPr>
              <w:spacing w:after="0" w:before="0" w:line="252" w:lineRule="auto"/>
            </w:pPr>
            <w:r>
              <w:rPr>
                <w:rFonts w:ascii="Arial" w:hAnsi="Arial"/>
                <w:b w:val="0"/>
                <w:color w:val="000000"/>
                <w:sz w:val="20"/>
              </w:rPr>
              <w:t>Hampshire and Isle of Wight Wildlife Trust</w:t>
            </w:r>
          </w:p>
        </w:tc>
        <w:tc>
          <w:tcPr>
            <w:tcW w:type="dxa" w:w="6480"/>
            <w:vAlign w:val="center"/>
            <w:shd w:fill="FFFFFF"/>
            <w:tcMar>
              <w:top w:w="65" w:type="dxa"/>
              <w:bottom w:w="65" w:type="dxa"/>
              <w:left w:w="90" w:type="dxa"/>
              <w:right w:w="90" w:type="dxa"/>
            </w:tcMar>
          </w:tcPr>
          <w:p>
            <w:pPr>
              <w:spacing w:after="0" w:before="0" w:line="252" w:lineRule="auto"/>
            </w:pPr>
            <w:r>
              <w:rPr>
                <w:rFonts w:ascii="Arial" w:hAnsi="Arial"/>
                <w:b w:val="0"/>
                <w:color w:val="000000"/>
                <w:sz w:val="20"/>
              </w:rPr>
              <w:t>Obtain a comparison quote for Little Duxmore / Nunwell, listed for Peel Common. Contact nitrates@hiwwt.org.uk or use the Environmental Credits enquiry form. [8, 11]</w:t>
            </w:r>
          </w:p>
        </w:tc>
      </w:tr>
      <w:tr>
        <w:trPr>
          <w:cantSplit/>
        </w:trPr>
        <w:tc>
          <w:tcPr>
            <w:tcW w:type="dxa" w:w="3600"/>
            <w:vAlign w:val="center"/>
            <w:shd w:fill="FFFFFF"/>
            <w:tcMar>
              <w:top w:w="65" w:type="dxa"/>
              <w:bottom w:w="65" w:type="dxa"/>
              <w:left w:w="90" w:type="dxa"/>
              <w:right w:w="90" w:type="dxa"/>
            </w:tcMar>
          </w:tcPr>
          <w:p>
            <w:pPr>
              <w:spacing w:after="0" w:before="0" w:line="252" w:lineRule="auto"/>
            </w:pPr>
            <w:r>
              <w:rPr>
                <w:rFonts w:ascii="Arial" w:hAnsi="Arial"/>
                <w:b w:val="0"/>
                <w:color w:val="000000"/>
                <w:sz w:val="20"/>
              </w:rPr>
              <w:t>Eastleigh Borough Council</w:t>
            </w:r>
          </w:p>
        </w:tc>
        <w:tc>
          <w:tcPr>
            <w:tcW w:type="dxa" w:w="6480"/>
            <w:vAlign w:val="center"/>
            <w:shd w:fill="FFFFFF"/>
            <w:tcMar>
              <w:top w:w="65" w:type="dxa"/>
              <w:bottom w:w="65" w:type="dxa"/>
              <w:left w:w="90" w:type="dxa"/>
              <w:right w:w="90" w:type="dxa"/>
            </w:tcMar>
          </w:tcPr>
          <w:p>
            <w:pPr>
              <w:spacing w:after="0" w:before="0" w:line="252" w:lineRule="auto"/>
            </w:pPr>
            <w:r>
              <w:rPr>
                <w:rFonts w:ascii="Arial" w:hAnsi="Arial"/>
                <w:b w:val="0"/>
                <w:color w:val="000000"/>
                <w:sz w:val="20"/>
              </w:rPr>
              <w:t>Ask nutrientoffset@eastleigh.gov.uk about the land-use component and whether an accepted package can cover both pathways. Bishopstoke is listed for Itchen/Test, but not Peel Common. [8, 9]</w:t>
            </w:r>
          </w:p>
        </w:tc>
      </w:tr>
    </w:tbl>
    <w:p>
      <w:pPr>
        <w:spacing w:after="0"/>
      </w:pPr>
    </w:p>
    <w:p>
      <w:r>
        <w:rPr>
          <w:b w:val="0"/>
        </w:rPr>
        <w:t>Meon Springs and the Trust require project-specific eligibility checks. Ask for the annual nitrogen reduction covered, duration, availability and an itemised total price. The Trust also applies development screening. No listed scheme is represented as having accepted or reserved credits for this proposal. [11, 15]</w:t>
      </w:r>
    </w:p>
    <w:p>
      <w:pPr>
        <w:pStyle w:val="Heading2"/>
      </w:pPr>
      <w:r>
        <w:t>A restriction affecting the public partnership route</w:t>
      </w:r>
    </w:p>
    <w:p>
      <w:r>
        <w:rPr>
          <w:b w:val="0"/>
        </w:rPr>
        <w:t>The Solent Mitigation Partnership’s Stubbington Meadow and Land at Stubbington schemes exclude Eastleigh applications on their published eligibility lists. They should not be selected solely because they serve Peel Common. This restriction is specific to those schemes and does not exclude private alternatives such as Meon Springs. [10, 15]</w:t>
      </w:r>
    </w:p>
    <w:p>
      <w:pPr>
        <w:pStyle w:val="Heading2"/>
      </w:pPr>
      <w:r>
        <w:t>Coverage of the two nutrient components</w:t>
      </w:r>
    </w:p>
    <w:p>
      <w:r>
        <w:rPr>
          <w:b w:val="0"/>
        </w:rPr>
        <w:t>For enquiry purposes, the rounded components including the buffer are approximately 1.02 kg TN/year for wastewater and 0.66 kg TN/year for the land-use change, totalling 1.68. These are explanatory allocations, not two additional requirements. The final certificate or combination of certificates must cover the agreed total without gaps or double counting.</w:t>
      </w:r>
    </w:p>
    <w:p>
      <w:r>
        <w:rPr>
          <w:b w:val="0"/>
        </w:rPr>
        <w:t>Ask the Council and provider whether one scheme can cover the complete budget, taking account of the presumed infiltration route as well as Peel Common. If not, obtain separate appropriate allocations for the wastewater and land-use components. Provider confirmation must address the receiving waters, not merely the property postcode. [8, 12, 13]</w:t>
      </w:r>
    </w:p>
    <w:p>
      <w:r>
        <w:rPr>
          <w:b w:val="0"/>
        </w:rPr>
        <w:t>No price, reservation or purchase has been secured. Obtain a written quote covering the annual reduction, duration and all reservation, legal, administrative and VAT charges. Credit purchase is separate from preparing the assessment.</w:t>
      </w:r>
    </w:p>
    <w:p>
      <w:pPr>
        <w:pStyle w:val="Heading1"/>
        <w:pageBreakBefore/>
      </w:pPr>
      <w:r>
        <w:t>6 Opportunities to reduce the mitigation requirement</w:t>
      </w:r>
    </w:p>
    <w:p>
      <w:r>
        <w:t>The following are options for agreement and design. The assessment continues to use 1.68 kg TN/year until a supported change is adopted and the calculator is updated.</w:t>
      </w:r>
    </w:p>
    <w:p>
      <w:pPr>
        <w:pStyle w:val="Heading2"/>
      </w:pPr>
      <w:r>
        <w:t>Water efficiency</w:t>
      </w:r>
    </w:p>
    <w:p>
      <w:r>
        <w:t>Efficient toilets, taps, showers and appliances could reduce wastewater demand. A fittings-based calculation and a lasting planning commitment would be needed. Natural England’s standing advice retains an extra 10 litres/person/day above the secured rate. A 110-litre specification therefore corresponds to the existing 120-litre calculator input, not an automatic reduction. Targets of 100 or 90 litres may produce the savings below if demonstrated and accepted. [16]</w:t>
      </w:r>
    </w:p>
    <w:p>
      <w:pPr>
        <w:pStyle w:val="Heading2"/>
      </w:pPr>
      <w:r>
        <w:t>Allowance for nitrogen in the water supply</w:t>
      </w:r>
    </w:p>
    <w:p>
      <w:r>
        <w:t>The Solent methodology provides an allowance for nitrogen already present in source water. This is the calculator’s “deductible acceptable loading” option, separate from any deduction for an existing dwelling. Ask Eastleigh to confirm its applicability to this supply and discharge pathway. Selecting Yes changes the Peel Common lookup from 9 to 7 mg/litre. The current No setting is retained pending that decision. [1, 12]</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7848"/>
        <w:gridCol w:w="2232"/>
      </w:tblGrid>
      <w:tr>
        <w:trPr>
          <w:cantSplit/>
          <w:tblHeader/>
        </w:trPr>
        <w:tc>
          <w:tcPr>
            <w:tcW w:type="dxa" w:w="7848"/>
            <w:vAlign w:val="center"/>
            <w:shd w:fill="E7EDF1"/>
            <w:tcMar>
              <w:top w:w="65" w:type="dxa"/>
              <w:bottom w:w="65" w:type="dxa"/>
              <w:left w:w="90" w:type="dxa"/>
              <w:right w:w="90" w:type="dxa"/>
            </w:tcMar>
          </w:tcPr>
          <w:p>
            <w:pPr>
              <w:spacing w:after="0" w:before="0" w:line="252" w:lineRule="auto"/>
            </w:pPr>
            <w:r>
              <w:rPr>
                <w:rFonts w:ascii="Arial" w:hAnsi="Arial"/>
                <w:b/>
                <w:color w:val="000000"/>
                <w:sz w:val="20"/>
              </w:rPr>
              <w:t>Conditional scenario</w:t>
            </w:r>
          </w:p>
        </w:tc>
        <w:tc>
          <w:tcPr>
            <w:tcW w:type="dxa" w:w="2232"/>
            <w:vAlign w:val="center"/>
            <w:shd w:fill="E7EDF1"/>
            <w:tcMar>
              <w:top w:w="65" w:type="dxa"/>
              <w:bottom w:w="65" w:type="dxa"/>
              <w:left w:w="90" w:type="dxa"/>
              <w:right w:w="90" w:type="dxa"/>
            </w:tcMar>
          </w:tcPr>
          <w:p>
            <w:pPr>
              <w:spacing w:after="0" w:before="0" w:line="252" w:lineRule="auto"/>
              <w:jc w:val="center"/>
            </w:pPr>
            <w:r>
              <w:rPr>
                <w:rFonts w:ascii="Arial" w:hAnsi="Arial"/>
                <w:b/>
                <w:color w:val="000000"/>
                <w:sz w:val="20"/>
              </w:rPr>
              <w:t>Budget kg TN/year</w:t>
            </w:r>
          </w:p>
        </w:tc>
      </w:tr>
      <w:tr>
        <w:trPr>
          <w:cantSplit/>
        </w:trPr>
        <w:tc>
          <w:tcPr>
            <w:tcW w:type="dxa" w:w="7848"/>
            <w:vAlign w:val="center"/>
            <w:shd w:fill="FFFFFF"/>
            <w:tcMar>
              <w:top w:w="65" w:type="dxa"/>
              <w:bottom w:w="65" w:type="dxa"/>
              <w:left w:w="90" w:type="dxa"/>
              <w:right w:w="90" w:type="dxa"/>
            </w:tcMar>
          </w:tcPr>
          <w:p>
            <w:pPr>
              <w:spacing w:after="0" w:before="0" w:line="252" w:lineRule="auto"/>
            </w:pPr>
            <w:r>
              <w:rPr>
                <w:rFonts w:ascii="Arial" w:hAnsi="Arial"/>
                <w:b w:val="0"/>
                <w:color w:val="000000"/>
                <w:sz w:val="20"/>
              </w:rPr>
              <w:t>Current assessment: input 120 litres; allowance No</w:t>
            </w:r>
          </w:p>
        </w:tc>
        <w:tc>
          <w:tcPr>
            <w:tcW w:type="dxa" w:w="2232"/>
            <w:vAlign w:val="center"/>
            <w:shd w:fill="FFFFFF"/>
            <w:tcMar>
              <w:top w:w="65" w:type="dxa"/>
              <w:bottom w:w="65" w:type="dxa"/>
              <w:left w:w="90" w:type="dxa"/>
              <w:right w:w="90" w:type="dxa"/>
            </w:tcMar>
          </w:tcPr>
          <w:p>
            <w:pPr>
              <w:spacing w:after="0" w:before="0" w:line="252" w:lineRule="auto"/>
              <w:jc w:val="center"/>
            </w:pPr>
            <w:r>
              <w:rPr>
                <w:rFonts w:ascii="Arial" w:hAnsi="Arial"/>
                <w:b w:val="0"/>
                <w:color w:val="000000"/>
                <w:sz w:val="20"/>
              </w:rPr>
              <w:t>1.68</w:t>
            </w:r>
          </w:p>
        </w:tc>
      </w:tr>
      <w:tr>
        <w:trPr>
          <w:cantSplit/>
        </w:trPr>
        <w:tc>
          <w:tcPr>
            <w:tcW w:type="dxa" w:w="7848"/>
            <w:vAlign w:val="center"/>
            <w:shd w:fill="FFFFFF"/>
            <w:tcMar>
              <w:top w:w="65" w:type="dxa"/>
              <w:bottom w:w="65" w:type="dxa"/>
              <w:left w:w="90" w:type="dxa"/>
              <w:right w:w="90" w:type="dxa"/>
            </w:tcMar>
          </w:tcPr>
          <w:p>
            <w:pPr>
              <w:spacing w:after="0" w:before="0" w:line="252" w:lineRule="auto"/>
            </w:pPr>
            <w:r>
              <w:rPr>
                <w:rFonts w:ascii="Arial" w:hAnsi="Arial"/>
                <w:b w:val="0"/>
                <w:color w:val="000000"/>
                <w:sz w:val="20"/>
              </w:rPr>
              <w:t>Secure 100 litres; input 110; allowance No</w:t>
            </w:r>
          </w:p>
        </w:tc>
        <w:tc>
          <w:tcPr>
            <w:tcW w:type="dxa" w:w="2232"/>
            <w:vAlign w:val="center"/>
            <w:shd w:fill="FFFFFF"/>
            <w:tcMar>
              <w:top w:w="65" w:type="dxa"/>
              <w:bottom w:w="65" w:type="dxa"/>
              <w:left w:w="90" w:type="dxa"/>
              <w:right w:w="90" w:type="dxa"/>
            </w:tcMar>
          </w:tcPr>
          <w:p>
            <w:pPr>
              <w:spacing w:after="0" w:before="0" w:line="252" w:lineRule="auto"/>
              <w:jc w:val="center"/>
            </w:pPr>
            <w:r>
              <w:rPr>
                <w:rFonts w:ascii="Arial" w:hAnsi="Arial"/>
                <w:b w:val="0"/>
                <w:color w:val="000000"/>
                <w:sz w:val="20"/>
              </w:rPr>
              <w:t>1.60</w:t>
            </w:r>
          </w:p>
        </w:tc>
      </w:tr>
      <w:tr>
        <w:trPr>
          <w:cantSplit/>
        </w:trPr>
        <w:tc>
          <w:tcPr>
            <w:tcW w:type="dxa" w:w="7848"/>
            <w:vAlign w:val="center"/>
            <w:shd w:fill="FFFFFF"/>
            <w:tcMar>
              <w:top w:w="65" w:type="dxa"/>
              <w:bottom w:w="65" w:type="dxa"/>
              <w:left w:w="90" w:type="dxa"/>
              <w:right w:w="90" w:type="dxa"/>
            </w:tcMar>
          </w:tcPr>
          <w:p>
            <w:pPr>
              <w:spacing w:after="0" w:before="0" w:line="252" w:lineRule="auto"/>
            </w:pPr>
            <w:r>
              <w:rPr>
                <w:rFonts w:ascii="Arial" w:hAnsi="Arial"/>
                <w:b w:val="0"/>
                <w:color w:val="000000"/>
                <w:sz w:val="20"/>
              </w:rPr>
              <w:t>Secure 90 litres; input 100; allowance No</w:t>
            </w:r>
          </w:p>
        </w:tc>
        <w:tc>
          <w:tcPr>
            <w:tcW w:type="dxa" w:w="2232"/>
            <w:vAlign w:val="center"/>
            <w:shd w:fill="FFFFFF"/>
            <w:tcMar>
              <w:top w:w="65" w:type="dxa"/>
              <w:bottom w:w="65" w:type="dxa"/>
              <w:left w:w="90" w:type="dxa"/>
              <w:right w:w="90" w:type="dxa"/>
            </w:tcMar>
          </w:tcPr>
          <w:p>
            <w:pPr>
              <w:spacing w:after="0" w:before="0" w:line="252" w:lineRule="auto"/>
              <w:jc w:val="center"/>
            </w:pPr>
            <w:r>
              <w:rPr>
                <w:rFonts w:ascii="Arial" w:hAnsi="Arial"/>
                <w:b w:val="0"/>
                <w:color w:val="000000"/>
                <w:sz w:val="20"/>
              </w:rPr>
              <w:t>1.51</w:t>
            </w:r>
          </w:p>
        </w:tc>
      </w:tr>
      <w:tr>
        <w:trPr>
          <w:cantSplit/>
        </w:trPr>
        <w:tc>
          <w:tcPr>
            <w:tcW w:type="dxa" w:w="7848"/>
            <w:vAlign w:val="center"/>
            <w:shd w:fill="FFFFFF"/>
            <w:tcMar>
              <w:top w:w="65" w:type="dxa"/>
              <w:bottom w:w="65" w:type="dxa"/>
              <w:left w:w="90" w:type="dxa"/>
              <w:right w:w="90" w:type="dxa"/>
            </w:tcMar>
          </w:tcPr>
          <w:p>
            <w:pPr>
              <w:spacing w:after="0" w:before="0" w:line="252" w:lineRule="auto"/>
            </w:pPr>
            <w:r>
              <w:rPr>
                <w:rFonts w:ascii="Arial" w:hAnsi="Arial"/>
                <w:b w:val="0"/>
                <w:color w:val="000000"/>
                <w:sz w:val="20"/>
              </w:rPr>
              <w:t>Allowance accepted; input remains 120</w:t>
            </w:r>
          </w:p>
        </w:tc>
        <w:tc>
          <w:tcPr>
            <w:tcW w:type="dxa" w:w="2232"/>
            <w:vAlign w:val="center"/>
            <w:shd w:fill="FFFFFF"/>
            <w:tcMar>
              <w:top w:w="65" w:type="dxa"/>
              <w:bottom w:w="65" w:type="dxa"/>
              <w:left w:w="90" w:type="dxa"/>
              <w:right w:w="90" w:type="dxa"/>
            </w:tcMar>
          </w:tcPr>
          <w:p>
            <w:pPr>
              <w:spacing w:after="0" w:before="0" w:line="252" w:lineRule="auto"/>
              <w:jc w:val="center"/>
            </w:pPr>
            <w:r>
              <w:rPr>
                <w:rFonts w:ascii="Arial" w:hAnsi="Arial"/>
                <w:b w:val="0"/>
                <w:color w:val="000000"/>
                <w:sz w:val="20"/>
              </w:rPr>
              <w:t>1.45</w:t>
            </w:r>
          </w:p>
        </w:tc>
      </w:tr>
      <w:tr>
        <w:trPr>
          <w:cantSplit/>
        </w:trPr>
        <w:tc>
          <w:tcPr>
            <w:tcW w:type="dxa" w:w="7848"/>
            <w:vAlign w:val="center"/>
            <w:shd w:fill="FFFFFF"/>
            <w:tcMar>
              <w:top w:w="65" w:type="dxa"/>
              <w:bottom w:w="65" w:type="dxa"/>
              <w:left w:w="90" w:type="dxa"/>
              <w:right w:w="90" w:type="dxa"/>
            </w:tcMar>
          </w:tcPr>
          <w:p>
            <w:pPr>
              <w:spacing w:after="0" w:before="0" w:line="252" w:lineRule="auto"/>
            </w:pPr>
            <w:r>
              <w:rPr>
                <w:rFonts w:ascii="Arial" w:hAnsi="Arial"/>
                <w:b w:val="0"/>
                <w:color w:val="000000"/>
                <w:sz w:val="20"/>
              </w:rPr>
              <w:t>Allowance accepted and secure 100 litres; input 110</w:t>
            </w:r>
          </w:p>
        </w:tc>
        <w:tc>
          <w:tcPr>
            <w:tcW w:type="dxa" w:w="2232"/>
            <w:vAlign w:val="center"/>
            <w:shd w:fill="FFFFFF"/>
            <w:tcMar>
              <w:top w:w="65" w:type="dxa"/>
              <w:bottom w:w="65" w:type="dxa"/>
              <w:left w:w="90" w:type="dxa"/>
              <w:right w:w="90" w:type="dxa"/>
            </w:tcMar>
          </w:tcPr>
          <w:p>
            <w:pPr>
              <w:spacing w:after="0" w:before="0" w:line="252" w:lineRule="auto"/>
              <w:jc w:val="center"/>
            </w:pPr>
            <w:r>
              <w:rPr>
                <w:rFonts w:ascii="Arial" w:hAnsi="Arial"/>
                <w:b w:val="0"/>
                <w:color w:val="000000"/>
                <w:sz w:val="20"/>
              </w:rPr>
              <w:t>1.39</w:t>
            </w:r>
          </w:p>
        </w:tc>
      </w:tr>
    </w:tbl>
    <w:p>
      <w:pPr>
        <w:spacing w:before="120"/>
      </w:pPr>
      <w:r>
        <w:t>These sensitivities reproduce the workbook’s rounding and retain the same land-use loads and 20% buffer. They are alternative totals, not savings to deduct cumulatively. Lower water use has not been specified or secured, and acceptance of the source-water allowance has not been established.</w:t>
      </w:r>
    </w:p>
    <w:p>
      <w:pPr>
        <w:pStyle w:val="Heading2"/>
      </w:pPr>
      <w:r>
        <w:t>Land use and drainage</w:t>
      </w:r>
    </w:p>
    <w:p>
      <w:r>
        <w:t>Check whether any assessed areas genuinely retain the same land use. An unchanged roof or driveway alone does not establish unchanged nutrient export where a community site becomes residential. The 0.55 kg land-use increase remains included. No existing-flat deduction is justified by the uncommenced permission. [2]</w:t>
      </w:r>
    </w:p>
    <w:p>
      <w:r>
        <w:t>A designed rain garden or other treatment feature could be investigated, but removal must be quantified and maintenance secured. An assumed soakaway or permeable drive gives no automatic credit. For this small conversion, compare design, installation and maintenance costs with credit savings before commissioning works. [2, 14]</w:t>
      </w:r>
    </w:p>
    <w:p>
      <w:pPr>
        <w:pStyle w:val="Heading1"/>
        <w:pageBreakBefore/>
      </w:pPr>
      <w:r>
        <w:t>7 Completion and Council assessment</w:t>
      </w:r>
    </w:p>
    <w:p>
      <w:pPr>
        <w:pStyle w:val="Heading2"/>
      </w:pPr>
      <w:r>
        <w:t>Evidence and remaining actions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448"/>
        <w:gridCol w:w="7632"/>
      </w:tblGrid>
      <w:tr>
        <w:trPr>
          <w:tblHeader/>
          <w:cantSplit/>
        </w:trPr>
        <w:tc>
          <w:tcPr>
            <w:tcW w:type="dxa" w:w="2448"/>
            <w:vAlign w:val="center"/>
            <w:shd w:fill="E7EDF1"/>
            <w:tcMar>
              <w:top w:w="65" w:type="dxa"/>
              <w:bottom w:w="65" w:type="dxa"/>
              <w:left w:w="90" w:type="dxa"/>
              <w:right w:w="90" w:type="dxa"/>
            </w:tcMar>
          </w:tcPr>
          <w:p>
            <w:pPr>
              <w:spacing w:after="0" w:line="252" w:lineRule="auto" w:before="0"/>
            </w:pPr>
            <w:r>
              <w:rPr>
                <w:rFonts w:ascii="Arial" w:hAnsi="Arial"/>
                <w:b/>
                <w:color w:val="000000"/>
                <w:sz w:val="20"/>
              </w:rPr>
              <w:t>Matter</w:t>
            </w:r>
          </w:p>
        </w:tc>
        <w:tc>
          <w:tcPr>
            <w:tcW w:type="dxa" w:w="7632"/>
            <w:vAlign w:val="center"/>
            <w:shd w:fill="E7EDF1"/>
            <w:tcMar>
              <w:top w:w="65" w:type="dxa"/>
              <w:bottom w:w="65" w:type="dxa"/>
              <w:left w:w="90" w:type="dxa"/>
              <w:right w:w="90" w:type="dxa"/>
            </w:tcMar>
          </w:tcPr>
          <w:p>
            <w:pPr>
              <w:spacing w:after="0" w:line="252" w:lineRule="auto" w:before="0"/>
            </w:pPr>
            <w:r>
              <w:rPr>
                <w:rFonts w:ascii="Arial" w:hAnsi="Arial"/>
                <w:b/>
                <w:color w:val="000000"/>
                <w:sz w:val="20"/>
              </w:rPr>
              <w:t>Required confirmation or action</w:t>
            </w:r>
          </w:p>
        </w:tc>
      </w:tr>
      <w:tr>
        <w:trPr>
          <w:cantSplit/>
        </w:trPr>
        <w:tc>
          <w:tcPr>
            <w:tcW w:type="dxa" w:w="2448"/>
            <w:vAlign w:val="center"/>
            <w:shd w:fill="FFFFFF"/>
            <w:tcMar>
              <w:top w:w="65" w:type="dxa"/>
              <w:bottom w:w="65" w:type="dxa"/>
              <w:left w:w="90" w:type="dxa"/>
              <w:right w:w="90" w:type="dxa"/>
            </w:tcMar>
          </w:tcPr>
          <w:p>
            <w:pPr>
              <w:spacing w:after="0" w:before="0" w:line="252" w:lineRule="auto"/>
            </w:pPr>
            <w:r>
              <w:rPr>
                <w:rFonts w:ascii="Arial" w:hAnsi="Arial"/>
                <w:b w:val="0"/>
                <w:color w:val="000000"/>
                <w:sz w:val="20"/>
              </w:rPr>
              <w:t>Area and baseline</w:t>
            </w:r>
          </w:p>
        </w:tc>
        <w:tc>
          <w:tcPr>
            <w:tcW w:type="dxa" w:w="7632"/>
            <w:vAlign w:val="center"/>
            <w:shd w:fill="FFFFFF"/>
            <w:tcMar>
              <w:top w:w="65" w:type="dxa"/>
              <w:bottom w:w="65" w:type="dxa"/>
              <w:left w:w="90" w:type="dxa"/>
              <w:right w:w="90" w:type="dxa"/>
            </w:tcMar>
          </w:tcPr>
          <w:p>
            <w:pPr>
              <w:spacing w:after="0" w:before="0" w:line="252" w:lineRule="auto"/>
            </w:pPr>
            <w:r>
              <w:rPr>
                <w:rFonts w:ascii="Arial" w:hAnsi="Arial"/>
                <w:b w:val="0"/>
                <w:color w:val="000000"/>
                <w:sz w:val="20"/>
              </w:rPr>
              <w:t>Agent has agreed approximately 0.087 ha. Match the application form. Retain the current non-residential baseline and review the land-use classification if queried.</w:t>
            </w:r>
          </w:p>
        </w:tc>
      </w:tr>
      <w:tr>
        <w:trPr>
          <w:cantSplit/>
        </w:trPr>
        <w:tc>
          <w:tcPr>
            <w:tcW w:type="dxa" w:w="2448"/>
            <w:vAlign w:val="center"/>
            <w:shd w:fill="FFFFFF"/>
            <w:tcMar>
              <w:top w:w="65" w:type="dxa"/>
              <w:bottom w:w="65" w:type="dxa"/>
              <w:left w:w="90" w:type="dxa"/>
              <w:right w:w="90" w:type="dxa"/>
            </w:tcMar>
          </w:tcPr>
          <w:p>
            <w:pPr>
              <w:spacing w:after="0" w:before="0" w:line="252" w:lineRule="auto"/>
            </w:pPr>
            <w:r>
              <w:rPr>
                <w:rFonts w:ascii="Arial" w:hAnsi="Arial"/>
                <w:b w:val="0"/>
                <w:color w:val="000000"/>
                <w:sz w:val="20"/>
              </w:rPr>
              <w:t>Drainage</w:t>
            </w:r>
          </w:p>
        </w:tc>
        <w:tc>
          <w:tcPr>
            <w:tcW w:type="dxa" w:w="7632"/>
            <w:vAlign w:val="center"/>
            <w:shd w:fill="FFFFFF"/>
            <w:tcMar>
              <w:top w:w="65" w:type="dxa"/>
              <w:bottom w:w="65" w:type="dxa"/>
              <w:left w:w="90" w:type="dxa"/>
              <w:right w:w="90" w:type="dxa"/>
            </w:tcMar>
          </w:tcPr>
          <w:p>
            <w:pPr>
              <w:spacing w:after="0" w:before="0" w:line="252" w:lineRule="auto"/>
            </w:pPr>
            <w:r>
              <w:rPr>
                <w:rFonts w:ascii="Arial" w:hAnsi="Arial"/>
                <w:b w:val="0"/>
                <w:color w:val="000000"/>
                <w:sz w:val="20"/>
              </w:rPr>
              <w:t>Public foul sewer connection confirmed by the agent. Retain mapped Peel Common; verify or obtain Council acceptance. Roof soakaway remains assumed; driveway infiltration is reported.</w:t>
            </w:r>
          </w:p>
        </w:tc>
      </w:tr>
      <w:tr>
        <w:trPr>
          <w:cantSplit/>
        </w:trPr>
        <w:tc>
          <w:tcPr>
            <w:tcW w:type="dxa" w:w="2448"/>
            <w:vAlign w:val="center"/>
            <w:shd w:fill="FFFFFF"/>
            <w:tcMar>
              <w:top w:w="65" w:type="dxa"/>
              <w:bottom w:w="65" w:type="dxa"/>
              <w:left w:w="90" w:type="dxa"/>
              <w:right w:w="90" w:type="dxa"/>
            </w:tcMar>
          </w:tcPr>
          <w:p>
            <w:pPr>
              <w:spacing w:after="0" w:before="0" w:line="252" w:lineRule="auto"/>
            </w:pPr>
            <w:r>
              <w:rPr>
                <w:rFonts w:ascii="Arial" w:hAnsi="Arial"/>
                <w:b w:val="0"/>
                <w:color w:val="000000"/>
                <w:sz w:val="20"/>
              </w:rPr>
              <w:t>Calculator record</w:t>
            </w:r>
          </w:p>
        </w:tc>
        <w:tc>
          <w:tcPr>
            <w:tcW w:type="dxa" w:w="7632"/>
            <w:vAlign w:val="center"/>
            <w:shd w:fill="FFFFFF"/>
            <w:tcMar>
              <w:top w:w="65" w:type="dxa"/>
              <w:bottom w:w="65" w:type="dxa"/>
              <w:left w:w="90" w:type="dxa"/>
              <w:right w:w="90" w:type="dxa"/>
            </w:tcMar>
          </w:tcPr>
          <w:p>
            <w:pPr>
              <w:spacing w:after="0" w:before="0" w:line="252" w:lineRule="auto"/>
            </w:pPr>
            <w:r>
              <w:rPr>
                <w:rFonts w:ascii="Arial" w:hAnsi="Arial"/>
                <w:b w:val="0"/>
                <w:color w:val="000000"/>
                <w:sz w:val="20"/>
              </w:rPr>
              <w:t>Use assumed first occupation 01/12/2026 and the section 4 inputs. Supply the completed Excel workbook with the statement.</w:t>
            </w:r>
          </w:p>
        </w:tc>
      </w:tr>
      <w:tr>
        <w:trPr>
          <w:cantSplit/>
        </w:trPr>
        <w:tc>
          <w:tcPr>
            <w:tcW w:type="dxa" w:w="2448"/>
            <w:vAlign w:val="center"/>
            <w:shd w:fill="FFFFFF"/>
            <w:tcMar>
              <w:top w:w="65" w:type="dxa"/>
              <w:bottom w:w="65" w:type="dxa"/>
              <w:left w:w="90" w:type="dxa"/>
              <w:right w:w="90" w:type="dxa"/>
            </w:tcMar>
          </w:tcPr>
          <w:p>
            <w:pPr>
              <w:spacing w:after="0" w:before="0" w:line="252" w:lineRule="auto"/>
            </w:pPr>
            <w:r>
              <w:rPr>
                <w:rFonts w:ascii="Arial" w:hAnsi="Arial"/>
                <w:b w:val="0"/>
                <w:color w:val="000000"/>
                <w:sz w:val="20"/>
              </w:rPr>
              <w:t>Reduction options</w:t>
            </w:r>
          </w:p>
        </w:tc>
        <w:tc>
          <w:tcPr>
            <w:tcW w:type="dxa" w:w="7632"/>
            <w:vAlign w:val="center"/>
            <w:shd w:fill="FFFFFF"/>
            <w:tcMar>
              <w:top w:w="65" w:type="dxa"/>
              <w:bottom w:w="65" w:type="dxa"/>
              <w:left w:w="90" w:type="dxa"/>
              <w:right w:w="90" w:type="dxa"/>
            </w:tcMar>
          </w:tcPr>
          <w:p>
            <w:pPr>
              <w:spacing w:after="0" w:before="0" w:line="252" w:lineRule="auto"/>
            </w:pPr>
            <w:r>
              <w:rPr>
                <w:rFonts w:ascii="Arial" w:hAnsi="Arial"/>
                <w:b w:val="0"/>
                <w:color w:val="000000"/>
                <w:sz w:val="20"/>
              </w:rPr>
              <w:t>Ask Eastleigh about deductible acceptable loading. Ask the applicant whether a supported 100- or 90-litre water-efficiency target will be adopted before changing the base result.</w:t>
            </w:r>
          </w:p>
        </w:tc>
      </w:tr>
      <w:tr>
        <w:trPr>
          <w:cantSplit/>
        </w:trPr>
        <w:tc>
          <w:tcPr>
            <w:tcW w:type="dxa" w:w="2448"/>
            <w:vAlign w:val="center"/>
            <w:shd w:fill="FFFFFF"/>
            <w:tcMar>
              <w:top w:w="65" w:type="dxa"/>
              <w:bottom w:w="65" w:type="dxa"/>
              <w:left w:w="90" w:type="dxa"/>
              <w:right w:w="90" w:type="dxa"/>
            </w:tcMar>
          </w:tcPr>
          <w:p>
            <w:pPr>
              <w:spacing w:after="0" w:before="0" w:line="252" w:lineRule="auto"/>
            </w:pPr>
            <w:r>
              <w:rPr>
                <w:rFonts w:ascii="Arial" w:hAnsi="Arial"/>
                <w:b w:val="0"/>
                <w:color w:val="000000"/>
                <w:sz w:val="20"/>
              </w:rPr>
              <w:t>Mitigation allocation</w:t>
            </w:r>
          </w:p>
        </w:tc>
        <w:tc>
          <w:tcPr>
            <w:tcW w:type="dxa" w:w="7632"/>
            <w:vAlign w:val="center"/>
            <w:shd w:fill="FFFFFF"/>
            <w:tcMar>
              <w:top w:w="65" w:type="dxa"/>
              <w:bottom w:w="65" w:type="dxa"/>
              <w:left w:w="90" w:type="dxa"/>
              <w:right w:w="90" w:type="dxa"/>
            </w:tcMar>
          </w:tcPr>
          <w:p>
            <w:pPr>
              <w:spacing w:after="0" w:before="0" w:line="252" w:lineRule="auto"/>
            </w:pPr>
            <w:r>
              <w:rPr>
                <w:rFonts w:ascii="Arial" w:hAnsi="Arial"/>
                <w:b w:val="0"/>
                <w:color w:val="000000"/>
                <w:sz w:val="20"/>
              </w:rPr>
              <w:t>Seek competing quotations and confirm coverage of both pathways, credit quantity, duration and legal arrangements. No allocation is currently secured.</w:t>
            </w:r>
          </w:p>
        </w:tc>
      </w:tr>
      <w:tr>
        <w:trPr>
          <w:cantSplit/>
        </w:trPr>
        <w:tc>
          <w:tcPr>
            <w:tcW w:type="dxa" w:w="2448"/>
            <w:vAlign w:val="center"/>
            <w:shd w:fill="FFFFFF"/>
            <w:tcMar>
              <w:top w:w="65" w:type="dxa"/>
              <w:bottom w:w="65" w:type="dxa"/>
              <w:left w:w="90" w:type="dxa"/>
              <w:right w:w="90" w:type="dxa"/>
            </w:tcMar>
          </w:tcPr>
          <w:p>
            <w:pPr>
              <w:spacing w:after="0" w:before="0" w:line="252" w:lineRule="auto"/>
            </w:pPr>
            <w:r>
              <w:rPr>
                <w:rFonts w:ascii="Arial" w:hAnsi="Arial"/>
                <w:b w:val="0"/>
                <w:color w:val="000000"/>
                <w:sz w:val="20"/>
              </w:rPr>
              <w:t>Council requirements</w:t>
            </w:r>
          </w:p>
        </w:tc>
        <w:tc>
          <w:tcPr>
            <w:tcW w:type="dxa" w:w="7632"/>
            <w:vAlign w:val="center"/>
            <w:shd w:fill="FFFFFF"/>
            <w:tcMar>
              <w:top w:w="65" w:type="dxa"/>
              <w:bottom w:w="65" w:type="dxa"/>
              <w:left w:w="90" w:type="dxa"/>
              <w:right w:w="90" w:type="dxa"/>
            </w:tcMar>
          </w:tcPr>
          <w:p>
            <w:pPr>
              <w:spacing w:after="0" w:before="0" w:line="252" w:lineRule="auto"/>
            </w:pPr>
            <w:r>
              <w:rPr>
                <w:rFonts w:ascii="Arial" w:hAnsi="Arial"/>
                <w:b w:val="0"/>
                <w:color w:val="000000"/>
                <w:sz w:val="20"/>
              </w:rPr>
              <w:t>Confirm evidence needed for validation and for the Council to rely on mitigation when determining the application.</w:t>
            </w:r>
          </w:p>
        </w:tc>
      </w:tr>
    </w:tbl>
    <w:p>
      <w:pPr>
        <w:spacing w:after="0"/>
      </w:pPr>
    </w:p>
    <w:p>
      <w:r>
        <w:rPr>
          <w:b w:val="0"/>
        </w:rPr>
        <w:t>The present area and drainage replies have been incorporated without treating assumptions as utility confirmations. If later measurement, drainage records, a Council decision on the allowance or an agreed water specification changes an input, update the workbook and statement together.</w:t>
      </w:r>
    </w:p>
    <w:p>
      <w:pPr>
        <w:pStyle w:val="Heading2"/>
      </w:pPr>
      <w:r>
        <w:t>Securing mitigation</w:t>
      </w:r>
    </w:p>
    <w:p>
      <w:r>
        <w:rPr>
          <w:b w:val="0"/>
        </w:rPr>
        <w:t>The mitigation package should identify a unique allocation to application F/26/101787 and show how the relevant annual nitrogen reduction is secured, funded and maintained. It must operate before the corresponding development effects arise and continue for their duration. The Council will determine the appropriate legal agreement, condition and evidence. [14]</w:t>
      </w:r>
    </w:p>
    <w:p>
      <w:r>
        <w:rPr>
          <w:b w:val="0"/>
        </w:rPr>
        <w:t>The Council’s 13 August letter expressly requests both a statement and calculations. Provision of those documents allows the nutrient issue to be considered, but the outstanding provider allocation should not be described as already completed. Any reservation or certificate should be submitted when available and incorporated into this statement.</w:t>
      </w:r>
    </w:p>
    <w:p>
      <w:pPr>
        <w:pStyle w:val="Heading2"/>
      </w:pPr>
      <w:r>
        <w:t>Assessment conclusion</w:t>
      </w:r>
    </w:p>
    <w:p>
      <w:r>
        <w:rPr>
          <w:b w:val="0"/>
        </w:rPr>
        <w:t>On the stated assumptions, conversion to one dwelling requires mitigation of 1.68 kg total nitrogen per year, including the 20% buffer. This incorporates the agent-agreed approximate area, the confirmed public foul connection, mapped Peel Common receiving works and assumed first occupation in December 2026. No existing residential credit, source-water allowance or SuDS deduction is claimed in that figure.</w:t>
      </w:r>
    </w:p>
    <w:p>
      <w:r>
        <w:rPr>
          <w:b w:val="0"/>
        </w:rPr>
        <w:t>Meon Springs and other schemes serving Peel Common are identified for enquiry. The provider must also confirm coverage of the land-use component. The options in section 6 may reduce the required quantity if substantiated and accepted; they do not yet replace the current budget. Nutrient neutrality will depend on an adequate, secured allocation, with the Council responsible for the Habitats Regulations assessment.</w:t>
      </w:r>
    </w:p>
    <w:p>
      <w:pPr>
        <w:pStyle w:val="Heading1"/>
        <w:pageBreakBefore/>
      </w:pPr>
      <w:r>
        <w:t>8 Sources and evidence record</w:t>
      </w:r>
    </w:p>
    <w:p>
      <w:r>
        <w:rPr>
          <w:b w:val="0"/>
          <w:sz w:val="19"/>
        </w:rPr>
        <w:t>Spatial research was undertaken on 10 September 2026. The calculator publication, general guidance, current supplier list and Meon Springs eligibility were reviewed again on 15 September 2026. References [15] and [16] support the added mitigation advice. The agent’s replies are incorporated as supplied; they are not a drainage survey.</w:t>
      </w:r>
    </w:p>
    <w:p>
      <w:pPr>
        <w:spacing w:after="160"/>
      </w:pPr>
      <w:r>
        <w:rPr>
          <w:b/>
          <w:sz w:val="19"/>
        </w:rPr>
        <w:t xml:space="preserve">[1] Natural England. </w:t>
      </w:r>
      <w:r>
        <w:rPr>
          <w:sz w:val="19"/>
        </w:rPr>
        <w:t xml:space="preserve">Solent nutrient neutrality calculator, V03_01_3, linked from the current GOV.UK publication page. </w:t>
      </w:r>
      <w:hyperlink r:id="rId11">
        <w:r>
          <w:rPr>
            <w:color w:val="1F4E79"/>
            <w:u w:val="single"/>
          </w:rPr>
          <w:t>Open source</w:t>
        </w:r>
      </w:hyperlink>
    </w:p>
    <w:p>
      <w:pPr>
        <w:spacing w:after="160"/>
      </w:pPr>
      <w:r>
        <w:rPr>
          <w:b/>
          <w:sz w:val="19"/>
        </w:rPr>
        <w:t xml:space="preserve">[2] Natural England and Defra. </w:t>
      </w:r>
      <w:r>
        <w:rPr>
          <w:sz w:val="19"/>
        </w:rPr>
        <w:t xml:space="preserve">Using the nutrient neutrality calculators, updated 11 March 2026. </w:t>
      </w:r>
      <w:hyperlink r:id="rId12">
        <w:r>
          <w:rPr>
            <w:color w:val="1F4E79"/>
            <w:u w:val="single"/>
          </w:rPr>
          <w:t>Open source</w:t>
        </w:r>
      </w:hyperlink>
    </w:p>
    <w:p>
      <w:pPr>
        <w:spacing w:after="160"/>
      </w:pPr>
      <w:r>
        <w:rPr>
          <w:b/>
          <w:sz w:val="19"/>
        </w:rPr>
        <w:t xml:space="preserve">[3] Environment Agency. </w:t>
      </w:r>
      <w:r>
        <w:rPr>
          <w:sz w:val="19"/>
        </w:rPr>
        <w:t xml:space="preserve">Itchen operational catchment, identifier 3237. Site intersection checked against the published WFD Cycle 3 surface-water operational catchments layer. </w:t>
      </w:r>
      <w:hyperlink r:id="rId13">
        <w:r>
          <w:rPr>
            <w:color w:val="1F4E79"/>
            <w:u w:val="single"/>
          </w:rPr>
          <w:t>Open source</w:t>
        </w:r>
      </w:hyperlink>
    </w:p>
    <w:p>
      <w:pPr>
        <w:spacing w:after="160"/>
      </w:pPr>
      <w:r>
        <w:rPr>
          <w:b/>
          <w:sz w:val="19"/>
        </w:rPr>
        <w:t xml:space="preserve">[4] Southern Water. </w:t>
      </w:r>
      <w:r>
        <w:rPr>
          <w:sz w:val="19"/>
        </w:rPr>
        <w:t xml:space="preserve">Sewer Catchment Boundaries. Site feature FID 240, BoundaryId 10391, PEEL COMMON. </w:t>
      </w:r>
      <w:hyperlink r:id="rId14">
        <w:r>
          <w:rPr>
            <w:color w:val="1F4E79"/>
            <w:u w:val="single"/>
          </w:rPr>
          <w:t>Open source</w:t>
        </w:r>
      </w:hyperlink>
    </w:p>
    <w:p>
      <w:pPr>
        <w:spacing w:after="160"/>
      </w:pPr>
      <w:r>
        <w:rPr>
          <w:b/>
          <w:sz w:val="19"/>
        </w:rPr>
        <w:t xml:space="preserve">[5] Soilscapes public map copy. </w:t>
      </w:r>
      <w:r>
        <w:rPr>
          <w:sz w:val="19"/>
        </w:rPr>
        <w:t xml:space="preserve">MAPMANLTD hosted feature 2316, Soilscape 6. Public copy used because the replacement LandIS portal requires an account. </w:t>
      </w:r>
      <w:hyperlink r:id="rId15">
        <w:r>
          <w:rPr>
            <w:color w:val="1F4E79"/>
            <w:u w:val="single"/>
          </w:rPr>
          <w:t>Open source</w:t>
        </w:r>
      </w:hyperlink>
    </w:p>
    <w:p>
      <w:pPr>
        <w:spacing w:after="160"/>
      </w:pPr>
      <w:r>
        <w:rPr>
          <w:b/>
          <w:sz w:val="19"/>
        </w:rPr>
        <w:t xml:space="preserve">[6] UK Centre for Ecology and Hydrology. </w:t>
      </w:r>
      <w:r>
        <w:rPr>
          <w:sz w:val="19"/>
        </w:rPr>
        <w:t xml:space="preserve">NRFA spatial rainfall map, SAAR9120 layer. Mapped site value 819 mm; station 42019 viewer used to access the national layer. </w:t>
      </w:r>
      <w:hyperlink r:id="rId16">
        <w:r>
          <w:rPr>
            <w:color w:val="1F4E79"/>
            <w:u w:val="single"/>
          </w:rPr>
          <w:t>Open source</w:t>
        </w:r>
      </w:hyperlink>
    </w:p>
    <w:p>
      <w:pPr>
        <w:spacing w:after="160"/>
      </w:pPr>
      <w:r>
        <w:rPr>
          <w:b/>
          <w:sz w:val="19"/>
        </w:rPr>
        <w:t xml:space="preserve">[7] Defra and Environment Agency. </w:t>
      </w:r>
      <w:r>
        <w:rPr>
          <w:sz w:val="19"/>
        </w:rPr>
        <w:t xml:space="preserve">Current farmers map, Nitrate layer. Site feature Nitrate.588; Hamble Estuary Eutrophic NVZ, ET3; nvz_2025 designation present. </w:t>
      </w:r>
      <w:hyperlink r:id="rId17">
        <w:r>
          <w:rPr>
            <w:color w:val="1F4E79"/>
            <w:u w:val="single"/>
          </w:rPr>
          <w:t>Open source</w:t>
        </w:r>
      </w:hyperlink>
    </w:p>
    <w:p>
      <w:pPr>
        <w:spacing w:after="160"/>
      </w:pPr>
      <w:r>
        <w:rPr>
          <w:b/>
          <w:sz w:val="19"/>
        </w:rPr>
        <w:t xml:space="preserve">[8] Partnership for South Hampshire. </w:t>
      </w:r>
      <w:r>
        <w:rPr>
          <w:sz w:val="19"/>
        </w:rPr>
        <w:t xml:space="preserve">Nutrient Mitigation Suppliers Operational, February 2026, especially entries 2, 3, 4, 7 and 8. </w:t>
      </w:r>
      <w:hyperlink r:id="rId18">
        <w:r>
          <w:rPr>
            <w:color w:val="1F4E79"/>
            <w:u w:val="single"/>
          </w:rPr>
          <w:t>Open source</w:t>
        </w:r>
      </w:hyperlink>
    </w:p>
    <w:p>
      <w:pPr>
        <w:spacing w:after="160"/>
      </w:pPr>
      <w:r>
        <w:rPr>
          <w:b/>
          <w:sz w:val="19"/>
        </w:rPr>
        <w:t xml:space="preserve">[9] Eastleigh Borough Council. </w:t>
      </w:r>
      <w:r>
        <w:rPr>
          <w:sz w:val="19"/>
        </w:rPr>
        <w:t xml:space="preserve">Unlocking development across the Solent and the Council nutrient offset schemes. </w:t>
      </w:r>
      <w:hyperlink r:id="rId19">
        <w:r>
          <w:rPr>
            <w:color w:val="1F4E79"/>
            <w:u w:val="single"/>
          </w:rPr>
          <w:t>Open source</w:t>
        </w:r>
      </w:hyperlink>
    </w:p>
    <w:p>
      <w:pPr>
        <w:spacing w:after="160"/>
      </w:pPr>
      <w:r>
        <w:rPr>
          <w:b/>
          <w:sz w:val="19"/>
        </w:rPr>
        <w:t xml:space="preserve">[10] Solent Mitigation Partnership. </w:t>
      </w:r>
      <w:r>
        <w:rPr>
          <w:sz w:val="19"/>
        </w:rPr>
        <w:t xml:space="preserve">Stubbington Meadow eligibility, including the express exclusion of Eastleigh Borough Council applications. </w:t>
      </w:r>
      <w:hyperlink r:id="rId20">
        <w:r>
          <w:rPr>
            <w:color w:val="1F4E79"/>
            <w:u w:val="single"/>
          </w:rPr>
          <w:t>Open source</w:t>
        </w:r>
      </w:hyperlink>
    </w:p>
    <w:p>
      <w:pPr>
        <w:spacing w:after="160"/>
      </w:pPr>
      <w:r>
        <w:rPr>
          <w:b/>
          <w:sz w:val="19"/>
        </w:rPr>
        <w:t xml:space="preserve">[11] Hampshire and Isle of Wight Wildlife Trust. </w:t>
      </w:r>
      <w:r>
        <w:rPr>
          <w:sz w:val="19"/>
        </w:rPr>
        <w:t xml:space="preserve">Environmental Credits and the expression of interest route; provider screening applies. </w:t>
      </w:r>
      <w:hyperlink r:id="rId21">
        <w:r>
          <w:rPr>
            <w:color w:val="1F4E79"/>
            <w:u w:val="single"/>
          </w:rPr>
          <w:t>Open source</w:t>
        </w:r>
      </w:hyperlink>
    </w:p>
    <w:p>
      <w:pPr>
        <w:spacing w:after="160"/>
      </w:pPr>
      <w:r>
        <w:rPr>
          <w:b/>
          <w:sz w:val="19"/>
        </w:rPr>
        <w:t xml:space="preserve">[12] Natural England. </w:t>
      </w:r>
      <w:r>
        <w:rPr>
          <w:sz w:val="19"/>
        </w:rPr>
        <w:t xml:space="preserve">Solent guidance version 5, June 2020, section 5 spatial principles, including paragraph 5.39 for Peel Common. </w:t>
      </w:r>
      <w:hyperlink r:id="rId22">
        <w:r>
          <w:rPr>
            <w:color w:val="1F4E79"/>
            <w:u w:val="single"/>
          </w:rPr>
          <w:t>Open source</w:t>
        </w:r>
      </w:hyperlink>
    </w:p>
    <w:p>
      <w:pPr>
        <w:spacing w:after="160"/>
      </w:pPr>
      <w:r>
        <w:rPr>
          <w:b/>
          <w:sz w:val="19"/>
        </w:rPr>
        <w:t xml:space="preserve">[13] Natural England. </w:t>
      </w:r>
      <w:r>
        <w:rPr>
          <w:sz w:val="19"/>
        </w:rPr>
        <w:t xml:space="preserve">Letter of 9 September 2022 confirming continuing relevance of section 5 spatial principles in the 2020 Solent guidance. </w:t>
      </w:r>
      <w:hyperlink r:id="rId23">
        <w:r>
          <w:rPr>
            <w:color w:val="1F4E79"/>
            <w:u w:val="single"/>
          </w:rPr>
          <w:t>Open source</w:t>
        </w:r>
      </w:hyperlink>
    </w:p>
    <w:p>
      <w:pPr>
        <w:spacing w:after="160"/>
      </w:pPr>
      <w:r>
        <w:rPr>
          <w:b/>
          <w:sz w:val="19"/>
        </w:rPr>
        <w:t xml:space="preserve">[14] Natural England. </w:t>
      </w:r>
      <w:r>
        <w:rPr>
          <w:sz w:val="19"/>
        </w:rPr>
        <w:t xml:space="preserve">Nutrient neutrality principles, February 2022, on scientific and practical certainty, location, timing and duration of mitigation. </w:t>
      </w:r>
      <w:hyperlink r:id="rId24">
        <w:r>
          <w:rPr>
            <w:color w:val="1F4E79"/>
            <w:u w:val="single"/>
          </w:rPr>
          <w:t>Open source</w:t>
        </w:r>
      </w:hyperlink>
    </w:p>
    <w:p>
      <w:r>
        <w:rPr>
          <w:sz w:val="18"/>
        </w:rPr>
        <w:t xml:space="preserve">[15] Meon Springs. Whitewool wetland project; includes Eastleigh proposals draining to Peel Common, subject to written agreement. Checked 15 September 2026. </w:t>
      </w:r>
      <w:hyperlink r:id="rId25">
        <w:r>
          <w:rPr>
            <w:color w:val="0563C1"/>
            <w:sz w:val="18"/>
          </w:rPr>
          <w:t>Open source</w:t>
        </w:r>
      </w:hyperlink>
    </w:p>
    <w:p>
      <w:r>
        <w:rPr>
          <w:sz w:val="18"/>
        </w:rPr>
        <w:t xml:space="preserve">[16] Natural England. Standing advice on nutrient neutrality calculations, Annex 4, section 1.1.2, publicly hosted by North Norfolk District Council. Explains secured water use plus a 10-litre allowance; cited for the calculation principle, not as Eastleigh policy. </w:t>
      </w:r>
      <w:hyperlink r:id="rId26">
        <w:r>
          <w:rPr>
            <w:color w:val="0563C1"/>
            <w:sz w:val="18"/>
          </w:rPr>
          <w:t>Open source</w:t>
        </w:r>
      </w:hyperlink>
    </w:p>
    <w:p>
      <w:r>
        <w:rPr>
          <w:b w:val="0"/>
          <w:sz w:val="19"/>
        </w:rPr>
        <w:t>Spatial queries used E445918 N108494 in EPSG:27700. The rainfall result was read at the site, rather than taking the gauging station’s catchment-average rainfall. The NVZ query used the current Defra farmers-map layer. The soil result came from a publicly hosted copy of Soilscapes and is regional mapping, not an infiltration test. The sewer dataset is credited to Southern Water; its boundary match is distinguished from confirmation of the property’s connection.</w:t>
      </w:r>
    </w:p>
    <w:sectPr w:rsidR="00FC693F" w:rsidRPr="0006063C" w:rsidSect="00034616">
      <w:headerReference w:type="default" r:id="rId9"/>
      <w:footerReference w:type="default" r:id="rId10"/>
      <w:footerReference w:type="first" r:id="rId27"/>
      <w:footerReference w:type="even" r:id="rId28"/>
      <w:headerReference w:type="first" r:id="rId29"/>
      <w:headerReference w:type="even" r:id="rId30"/>
      <w:pgSz w:w="12240" w:h="15840"/>
      <w:pgMar w:top="1008" w:right="1080" w:bottom="1008" w:left="1080" w:header="403"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F/26/101787   |   15 September 2026   |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JOE’S BLOOMS   |   70 STATION ROAD NETLEY ABBEY</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59"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6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16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0"/>
      <w:contextualSpacing/>
    </w:pPr>
    <w:rPr>
      <w:rFonts w:asciiTheme="majorHAnsi" w:eastAsiaTheme="majorEastAsia" w:hAnsiTheme="majorHAnsi" w:cstheme="majorBidi"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gov.uk/government/publications/solent-nutrient-neutrality-calculator" TargetMode="External"/><Relationship Id="rId12" Type="http://schemas.openxmlformats.org/officeDocument/2006/relationships/hyperlink" Target="https://www.gov.uk/guidance/using-the-nutrient-neutrality-calculators" TargetMode="External"/><Relationship Id="rId13" Type="http://schemas.openxmlformats.org/officeDocument/2006/relationships/hyperlink" Target="https://environment.data.gov.uk/catchment-planning/OperationalCatchment/3237" TargetMode="External"/><Relationship Id="rId14" Type="http://schemas.openxmlformats.org/officeDocument/2006/relationships/hyperlink" Target="https://www.arcgis.com/home/item.html?id=ce5bb7ec36fb4b1fa922c38c8918c270" TargetMode="External"/><Relationship Id="rId15" Type="http://schemas.openxmlformats.org/officeDocument/2006/relationships/hyperlink" Target="https://services7.arcgis.com/VGCbpEKWinc6NIRs/arcgis/rest/services/Soilscapes/FeatureServer/0/2316" TargetMode="External"/><Relationship Id="rId16" Type="http://schemas.openxmlformats.org/officeDocument/2006/relationships/hyperlink" Target="https://nrfa.ceh.ac.uk/data/station/spatial/42019" TargetMode="External"/><Relationship Id="rId17" Type="http://schemas.openxmlformats.org/officeDocument/2006/relationships/hyperlink" Target="https://environment.data.gov.uk/farmers/" TargetMode="External"/><Relationship Id="rId18" Type="http://schemas.openxmlformats.org/officeDocument/2006/relationships/hyperlink" Target="https://www.push.gov.uk/wp-content/uploads/2026/02/Nutrient-Mitigation-Suppliers-Operational-February-2026.pdf" TargetMode="External"/><Relationship Id="rId19" Type="http://schemas.openxmlformats.org/officeDocument/2006/relationships/hyperlink" Target="https://www.eastleigh.gov.uk/planning-and-building/nutrient-offset-schemes" TargetMode="External"/><Relationship Id="rId20" Type="http://schemas.openxmlformats.org/officeDocument/2006/relationships/hyperlink" Target="https://solentmitigationpartnership.co.uk/scheme/land-at-stubbington/" TargetMode="External"/><Relationship Id="rId21" Type="http://schemas.openxmlformats.org/officeDocument/2006/relationships/hyperlink" Target="https://www.hiwwt.org.uk/reducing-nitrates-solent/environmental-credits" TargetMode="External"/><Relationship Id="rId22" Type="http://schemas.openxmlformats.org/officeDocument/2006/relationships/hyperlink" Target="https://www.havant.gov.uk/media/8931/download?inline=" TargetMode="External"/><Relationship Id="rId23" Type="http://schemas.openxmlformats.org/officeDocument/2006/relationships/hyperlink" Target="https://www.havant.gov.uk/media/8933/download?inline=" TargetMode="External"/><Relationship Id="rId24" Type="http://schemas.openxmlformats.org/officeDocument/2006/relationships/hyperlink" Target="https://www.havant.gov.uk/media/8815/download?inline=" TargetMode="External"/><Relationship Id="rId25" Type="http://schemas.openxmlformats.org/officeDocument/2006/relationships/hyperlink" Target="https://www.meonsprings.com/wetland" TargetMode="External"/><Relationship Id="rId26" Type="http://schemas.openxmlformats.org/officeDocument/2006/relationships/hyperlink" Target="https://consult.north-norfolk.gov.uk/file/6419328" TargetMode="External"/><Relationship Id="rId27" Type="http://schemas.openxmlformats.org/officeDocument/2006/relationships/footer" Target="footer2.xml"/><Relationship Id="rId28" Type="http://schemas.openxmlformats.org/officeDocument/2006/relationships/footer" Target="footer3.xml"/><Relationship Id="rId29" Type="http://schemas.openxmlformats.org/officeDocument/2006/relationships/header" Target="header2.xml"/><Relationship Id="rId30"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Nutrient Neutrality Statement for 70 Station Road Netley Abbey</dc:title>
  <dc:subject>Application F/26/101787 assessment and mitigation options</dc:subject>
  <dc:creator>Joe’s Blooms Ltd</dc:creator>
  <cp:keywords/>
  <dc:description>generated by python-docx</dc:description>
  <cp:lastModifiedBy/>
  <cp:revision>1</cp:revision>
  <dcterms:created xsi:type="dcterms:W3CDTF">2013-12-23T23:15:00Z</dcterms:created>
  <dcterms:modified xsi:type="dcterms:W3CDTF">2026-09-15T12:00:00Z</dcterms:modified>
  <cp:category/>
</cp:coreProperties>
</file>