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 xml:space="preserve">Graham Lipscombe </w:t>
      </w:r>
    </w:p>
    <w:p>
      <w:pPr>
        <w:pStyle w:val="Body"/>
        <w:jc w:val="center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 xml:space="preserve">60 Hamilton Road </w:t>
      </w:r>
    </w:p>
    <w:p>
      <w:pPr>
        <w:pStyle w:val="Body"/>
        <w:jc w:val="center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 xml:space="preserve">Salisbury </w:t>
      </w:r>
    </w:p>
    <w:p>
      <w:pPr>
        <w:pStyle w:val="Body"/>
        <w:jc w:val="center"/>
        <w:rPr>
          <w:b w:val="1"/>
          <w:bCs w:val="1"/>
          <w:sz w:val="36"/>
          <w:szCs w:val="36"/>
        </w:rPr>
      </w:pPr>
      <w:r>
        <w:rPr>
          <w:b w:val="1"/>
          <w:bCs w:val="1"/>
          <w:sz w:val="36"/>
          <w:szCs w:val="36"/>
          <w:rtl w:val="0"/>
          <w:lang w:val="en-US"/>
        </w:rPr>
        <w:t>SP1 3TQ</w:t>
      </w:r>
    </w:p>
    <w:p>
      <w:pPr>
        <w:pStyle w:val="Body"/>
        <w:jc w:val="left"/>
      </w:pPr>
      <w:r>
        <w:rPr>
          <w:rtl w:val="0"/>
          <w:lang w:val="en-US"/>
        </w:rPr>
        <w:t>17/May/2024</w:t>
      </w:r>
    </w:p>
    <w:p>
      <w:pPr>
        <w:pStyle w:val="Body"/>
        <w:jc w:val="left"/>
      </w:pPr>
    </w:p>
    <w:p>
      <w:pPr>
        <w:pStyle w:val="Body"/>
        <w:jc w:val="left"/>
        <w:rPr>
          <w:b w:val="1"/>
          <w:bCs w:val="1"/>
          <w:sz w:val="36"/>
          <w:szCs w:val="36"/>
          <w:u w:val="single"/>
        </w:rPr>
      </w:pPr>
      <w:r>
        <w:rPr>
          <w:b w:val="1"/>
          <w:bCs w:val="1"/>
          <w:sz w:val="36"/>
          <w:szCs w:val="36"/>
          <w:u w:val="single"/>
          <w:rtl w:val="0"/>
          <w:lang w:val="en-US"/>
        </w:rPr>
        <w:t xml:space="preserve">Design and Access Statement </w:t>
      </w:r>
    </w:p>
    <w:p>
      <w:pPr>
        <w:pStyle w:val="Body"/>
        <w:jc w:val="left"/>
        <w:rPr>
          <w:b w:val="1"/>
          <w:bCs w:val="1"/>
          <w:u w:val="single"/>
        </w:rPr>
      </w:pPr>
    </w:p>
    <w:p>
      <w:pPr>
        <w:pStyle w:val="Body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The property is currently vacant. It was previously approved for commercial (shop/office) use A1 in July 2008. Since then it has had several businesses operating in the units, none of which have been able to sustain a viable business.</w:t>
      </w:r>
    </w:p>
    <w:p>
      <w:pPr>
        <w:pStyle w:val="Body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I propose to convert the ground floor 2 x commercial units to form 1 x 2 bed flat.</w:t>
      </w:r>
    </w:p>
    <w:p>
      <w:pPr>
        <w:pStyle w:val="Body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Please note the neighbouring property 10a has been converted into flats along with others in the immediate area.</w:t>
      </w:r>
    </w:p>
    <w:p>
      <w:pPr>
        <w:pStyle w:val="Body"/>
        <w:jc w:val="left"/>
        <w:rPr>
          <w:sz w:val="32"/>
          <w:szCs w:val="32"/>
        </w:rPr>
      </w:pPr>
    </w:p>
    <w:p>
      <w:pPr>
        <w:pStyle w:val="Body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I note that car parking within the local plan is discouraged because of the excellent public transportation within and afforded to people who wish to commute to &amp; out of Eastleigh. The location is within walking distance into the town centre.</w:t>
      </w:r>
    </w:p>
    <w:p>
      <w:pPr>
        <w:pStyle w:val="Body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There is communal amenity space to the rear of the proposal.</w:t>
      </w:r>
    </w:p>
    <w:p>
      <w:pPr>
        <w:pStyle w:val="Body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There are also parks and open spaces close by for use of the residents.</w:t>
      </w:r>
    </w:p>
    <w:p>
      <w:pPr>
        <w:pStyle w:val="Body"/>
        <w:jc w:val="left"/>
        <w:rPr>
          <w:sz w:val="32"/>
          <w:szCs w:val="32"/>
        </w:rPr>
      </w:pPr>
      <w:r>
        <w:rPr>
          <w:sz w:val="32"/>
          <w:szCs w:val="32"/>
          <w:rtl w:val="0"/>
          <w:lang w:val="en-US"/>
        </w:rPr>
        <w:t>Access to and from the proposal will be via existing pavements and highways adjacent to the property.</w:t>
      </w:r>
    </w:p>
    <w:p>
      <w:pPr>
        <w:pStyle w:val="Body"/>
        <w:jc w:val="left"/>
      </w:pPr>
    </w:p>
    <w:p>
      <w:pPr>
        <w:pStyle w:val="Body"/>
        <w:jc w:val="left"/>
      </w:pPr>
      <w:r>
        <w:rPr>
          <w:b w:val="1"/>
          <w:bCs w:val="1"/>
          <w:u w:val="single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