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E94760" w14:textId="77777777" w:rsidR="00DA2ECF" w:rsidRPr="0005655C" w:rsidRDefault="00DA2ECF" w:rsidP="00960C52">
      <w:pPr>
        <w:spacing w:line="276" w:lineRule="auto"/>
        <w:jc w:val="right"/>
        <w:rPr>
          <w:rFonts w:ascii="Arial" w:hAnsi="Arial" w:cs="Arial"/>
          <w:noProof/>
          <w:color w:val="404040"/>
          <w:sz w:val="22"/>
          <w:szCs w:val="22"/>
        </w:rPr>
      </w:pPr>
    </w:p>
    <w:p w14:paraId="1A63DAD6" w14:textId="77777777" w:rsidR="00DA2ECF" w:rsidRPr="0005655C" w:rsidRDefault="00F20531" w:rsidP="00491DBE">
      <w:pPr>
        <w:spacing w:line="276" w:lineRule="auto"/>
        <w:jc w:val="center"/>
        <w:rPr>
          <w:rFonts w:ascii="Arial" w:hAnsi="Arial" w:cs="Arial"/>
          <w:sz w:val="22"/>
          <w:szCs w:val="22"/>
        </w:rPr>
      </w:pPr>
      <w:r w:rsidRPr="0005655C">
        <w:rPr>
          <w:rFonts w:ascii="Arial" w:hAnsi="Arial" w:cs="Arial"/>
          <w:sz w:val="22"/>
          <w:szCs w:val="22"/>
        </w:rPr>
        <w:t xml:space="preserve">Habitat Regulation Assessment (HRA) </w:t>
      </w:r>
    </w:p>
    <w:p w14:paraId="03CEF69F" w14:textId="77777777" w:rsidR="00DA2ECF" w:rsidRPr="0005655C" w:rsidRDefault="00F20531" w:rsidP="00491DBE">
      <w:pPr>
        <w:spacing w:line="276" w:lineRule="auto"/>
        <w:jc w:val="center"/>
        <w:rPr>
          <w:rFonts w:ascii="Arial" w:hAnsi="Arial" w:cs="Arial"/>
          <w:sz w:val="22"/>
          <w:szCs w:val="22"/>
        </w:rPr>
      </w:pPr>
      <w:r w:rsidRPr="0005655C">
        <w:rPr>
          <w:rFonts w:ascii="Arial" w:hAnsi="Arial" w:cs="Arial"/>
          <w:sz w:val="22"/>
          <w:szCs w:val="22"/>
        </w:rPr>
        <w:t>Screening Matrix and Appropriate Assessment Statement</w:t>
      </w:r>
    </w:p>
    <w:p w14:paraId="35D7F20D" w14:textId="77777777" w:rsidR="00DA2ECF" w:rsidRPr="0005655C" w:rsidRDefault="00DA2ECF" w:rsidP="00491DBE">
      <w:pPr>
        <w:spacing w:line="276" w:lineRule="auto"/>
        <w:jc w:val="center"/>
        <w:rPr>
          <w:rFonts w:ascii="Arial" w:hAnsi="Arial" w:cs="Arial"/>
          <w:sz w:val="22"/>
          <w:szCs w:val="22"/>
        </w:rPr>
      </w:pPr>
    </w:p>
    <w:p w14:paraId="386DB0B8" w14:textId="77777777" w:rsidR="00DA2ECF" w:rsidRPr="0005655C" w:rsidRDefault="00F20531" w:rsidP="00491DBE">
      <w:pPr>
        <w:spacing w:line="276" w:lineRule="auto"/>
        <w:jc w:val="center"/>
        <w:rPr>
          <w:rFonts w:ascii="Arial" w:hAnsi="Arial" w:cs="Arial"/>
          <w:b/>
          <w:sz w:val="22"/>
          <w:szCs w:val="22"/>
        </w:rPr>
      </w:pPr>
      <w:r w:rsidRPr="0005655C">
        <w:rPr>
          <w:rFonts w:ascii="Arial" w:hAnsi="Arial" w:cs="Arial"/>
          <w:b/>
          <w:sz w:val="22"/>
          <w:szCs w:val="22"/>
        </w:rPr>
        <w:t>PLEASE NOTE:  Undertaking the HRA process is the responsibility of the decision maker as the Competent Authority for the purpose of the Habitats Regulations. However, it is the responsibility of the applicant to provide the Competent Authority with the information that they require for this purpose.</w:t>
      </w:r>
    </w:p>
    <w:p w14:paraId="63214E12" w14:textId="77777777" w:rsidR="00DA2ECF" w:rsidRPr="0005655C" w:rsidRDefault="00DA2ECF" w:rsidP="00491DBE">
      <w:pPr>
        <w:spacing w:line="276" w:lineRule="auto"/>
        <w:jc w:val="center"/>
        <w:rPr>
          <w:rFonts w:ascii="Arial" w:hAnsi="Arial" w:cs="Arial"/>
          <w:b/>
          <w:color w:val="404040"/>
          <w:sz w:val="22"/>
          <w:szCs w:val="22"/>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7141"/>
      </w:tblGrid>
      <w:tr w:rsidR="00EA0957" w:rsidRPr="0005655C" w14:paraId="6B58AB7A" w14:textId="77777777" w:rsidTr="00241DC7">
        <w:tc>
          <w:tcPr>
            <w:tcW w:w="2467" w:type="dxa"/>
            <w:tcBorders>
              <w:top w:val="single" w:sz="12" w:space="0" w:color="0083BE"/>
              <w:left w:val="single" w:sz="12" w:space="0" w:color="0083BE"/>
              <w:bottom w:val="single" w:sz="4" w:space="0" w:color="0083BE"/>
              <w:right w:val="single" w:sz="4" w:space="0" w:color="0083BE"/>
            </w:tcBorders>
            <w:shd w:val="clear" w:color="auto" w:fill="A8D08D" w:themeFill="accent6" w:themeFillTint="99"/>
            <w:hideMark/>
          </w:tcPr>
          <w:p w14:paraId="0FBCF078" w14:textId="77777777" w:rsidR="00DA2ECF" w:rsidRPr="00157C5D" w:rsidRDefault="00F20531">
            <w:pPr>
              <w:spacing w:line="276" w:lineRule="auto"/>
              <w:rPr>
                <w:rFonts w:ascii="Arial" w:hAnsi="Arial" w:cs="Arial"/>
                <w:color w:val="404040"/>
                <w:sz w:val="22"/>
                <w:szCs w:val="22"/>
              </w:rPr>
            </w:pPr>
            <w:r w:rsidRPr="00157C5D">
              <w:rPr>
                <w:rFonts w:ascii="Arial" w:hAnsi="Arial" w:cs="Arial"/>
                <w:color w:val="404040"/>
                <w:sz w:val="22"/>
                <w:szCs w:val="22"/>
              </w:rPr>
              <w:t>HRA drafting date:</w:t>
            </w:r>
          </w:p>
        </w:tc>
        <w:tc>
          <w:tcPr>
            <w:tcW w:w="7141" w:type="dxa"/>
            <w:tcBorders>
              <w:top w:val="single" w:sz="12" w:space="0" w:color="0083BE"/>
              <w:left w:val="single" w:sz="4" w:space="0" w:color="0083BE"/>
              <w:bottom w:val="single" w:sz="4" w:space="0" w:color="0083BE"/>
              <w:right w:val="single" w:sz="12" w:space="0" w:color="0083BE"/>
            </w:tcBorders>
            <w:hideMark/>
          </w:tcPr>
          <w:p w14:paraId="5E61DC98" w14:textId="4838B417" w:rsidR="00DA2ECF" w:rsidRPr="00157C5D" w:rsidRDefault="00324884">
            <w:pPr>
              <w:spacing w:line="276" w:lineRule="auto"/>
              <w:rPr>
                <w:rFonts w:ascii="Arial" w:hAnsi="Arial" w:cs="Arial"/>
                <w:sz w:val="22"/>
                <w:szCs w:val="22"/>
              </w:rPr>
            </w:pPr>
            <w:r w:rsidRPr="00157C5D">
              <w:rPr>
                <w:rFonts w:ascii="Arial" w:hAnsi="Arial" w:cs="Arial"/>
                <w:sz w:val="22"/>
                <w:szCs w:val="22"/>
              </w:rPr>
              <w:t>04/12/24</w:t>
            </w:r>
          </w:p>
        </w:tc>
      </w:tr>
      <w:tr w:rsidR="00EA0957" w:rsidRPr="0005655C" w14:paraId="4F7FE737"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43B7559D" w14:textId="77777777" w:rsidR="00DA2ECF" w:rsidRPr="00157C5D" w:rsidRDefault="00F20531">
            <w:pPr>
              <w:spacing w:line="276" w:lineRule="auto"/>
              <w:rPr>
                <w:rFonts w:ascii="Arial" w:hAnsi="Arial" w:cs="Arial"/>
                <w:color w:val="404040"/>
                <w:sz w:val="22"/>
                <w:szCs w:val="22"/>
              </w:rPr>
            </w:pPr>
            <w:r w:rsidRPr="00157C5D">
              <w:rPr>
                <w:rFonts w:ascii="Arial" w:hAnsi="Arial" w:cs="Arial"/>
                <w:color w:val="404040"/>
                <w:sz w:val="22"/>
                <w:szCs w:val="22"/>
              </w:rPr>
              <w:t>HRA completion date:</w:t>
            </w:r>
          </w:p>
        </w:tc>
        <w:tc>
          <w:tcPr>
            <w:tcW w:w="7141" w:type="dxa"/>
            <w:tcBorders>
              <w:top w:val="single" w:sz="4" w:space="0" w:color="0083BE"/>
              <w:left w:val="single" w:sz="4" w:space="0" w:color="0083BE"/>
              <w:bottom w:val="single" w:sz="4" w:space="0" w:color="0083BE"/>
              <w:right w:val="single" w:sz="12" w:space="0" w:color="0083BE"/>
            </w:tcBorders>
            <w:hideMark/>
          </w:tcPr>
          <w:p w14:paraId="6B5C5042" w14:textId="7CEBBFA8" w:rsidR="00DA2ECF" w:rsidRPr="00157C5D" w:rsidRDefault="00324884">
            <w:pPr>
              <w:spacing w:line="276" w:lineRule="auto"/>
              <w:rPr>
                <w:rFonts w:ascii="Arial" w:hAnsi="Arial" w:cs="Arial"/>
                <w:sz w:val="22"/>
                <w:szCs w:val="22"/>
              </w:rPr>
            </w:pPr>
            <w:r w:rsidRPr="00157C5D">
              <w:rPr>
                <w:rFonts w:ascii="Arial" w:hAnsi="Arial" w:cs="Arial"/>
                <w:sz w:val="22"/>
                <w:szCs w:val="22"/>
              </w:rPr>
              <w:t>04/12/24</w:t>
            </w:r>
          </w:p>
        </w:tc>
      </w:tr>
      <w:tr w:rsidR="00EA0957" w:rsidRPr="0005655C" w14:paraId="66559159"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78D610E7" w14:textId="77777777" w:rsidR="00DA2ECF" w:rsidRPr="00157C5D" w:rsidRDefault="00F20531">
            <w:pPr>
              <w:spacing w:line="276" w:lineRule="auto"/>
              <w:rPr>
                <w:rFonts w:ascii="Arial" w:hAnsi="Arial" w:cs="Arial"/>
                <w:color w:val="404040"/>
                <w:sz w:val="22"/>
                <w:szCs w:val="22"/>
              </w:rPr>
            </w:pPr>
            <w:r w:rsidRPr="00157C5D">
              <w:rPr>
                <w:rFonts w:ascii="Arial" w:hAnsi="Arial" w:cs="Arial"/>
                <w:color w:val="404040"/>
                <w:sz w:val="22"/>
                <w:szCs w:val="22"/>
              </w:rPr>
              <w:t>Application reference:</w:t>
            </w:r>
          </w:p>
        </w:tc>
        <w:tc>
          <w:tcPr>
            <w:tcW w:w="7141" w:type="dxa"/>
            <w:tcBorders>
              <w:top w:val="single" w:sz="4" w:space="0" w:color="0083BE"/>
              <w:left w:val="single" w:sz="4" w:space="0" w:color="0083BE"/>
              <w:bottom w:val="single" w:sz="4" w:space="0" w:color="0083BE"/>
              <w:right w:val="single" w:sz="12" w:space="0" w:color="0083BE"/>
            </w:tcBorders>
            <w:hideMark/>
          </w:tcPr>
          <w:p w14:paraId="47536BA6" w14:textId="63CB9A19" w:rsidR="00DA2ECF" w:rsidRPr="00157C5D" w:rsidRDefault="00157C5D">
            <w:pPr>
              <w:spacing w:line="276" w:lineRule="auto"/>
              <w:rPr>
                <w:rFonts w:ascii="Arial" w:hAnsi="Arial" w:cs="Arial"/>
                <w:color w:val="000000"/>
                <w:sz w:val="22"/>
                <w:szCs w:val="22"/>
                <w:shd w:val="clear" w:color="auto" w:fill="FFFFFF"/>
              </w:rPr>
            </w:pPr>
            <w:r w:rsidRPr="00157C5D">
              <w:rPr>
                <w:rFonts w:ascii="Arial" w:hAnsi="Arial" w:cs="Arial"/>
                <w:color w:val="181818"/>
                <w:sz w:val="22"/>
                <w:szCs w:val="22"/>
                <w:shd w:val="clear" w:color="auto" w:fill="FFFFFF"/>
              </w:rPr>
              <w:t>F/24/98392</w:t>
            </w:r>
          </w:p>
        </w:tc>
      </w:tr>
      <w:tr w:rsidR="00EA0957" w:rsidRPr="0005655C" w14:paraId="53FC8C4F"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7BB5FF8F" w14:textId="77777777" w:rsidR="00DA2ECF" w:rsidRPr="00157C5D" w:rsidRDefault="00F20531">
            <w:pPr>
              <w:spacing w:line="276" w:lineRule="auto"/>
              <w:rPr>
                <w:rFonts w:ascii="Arial" w:hAnsi="Arial" w:cs="Arial"/>
                <w:color w:val="404040"/>
                <w:sz w:val="22"/>
                <w:szCs w:val="22"/>
              </w:rPr>
            </w:pPr>
            <w:r w:rsidRPr="00157C5D">
              <w:rPr>
                <w:rFonts w:ascii="Arial" w:hAnsi="Arial" w:cs="Arial"/>
                <w:color w:val="404040"/>
                <w:sz w:val="22"/>
                <w:szCs w:val="22"/>
              </w:rPr>
              <w:t>Application address:</w:t>
            </w:r>
          </w:p>
        </w:tc>
        <w:tc>
          <w:tcPr>
            <w:tcW w:w="7141" w:type="dxa"/>
            <w:tcBorders>
              <w:top w:val="single" w:sz="4" w:space="0" w:color="0083BE"/>
              <w:left w:val="single" w:sz="4" w:space="0" w:color="0083BE"/>
              <w:bottom w:val="single" w:sz="4" w:space="0" w:color="0083BE"/>
              <w:right w:val="single" w:sz="12" w:space="0" w:color="0083BE"/>
            </w:tcBorders>
            <w:hideMark/>
          </w:tcPr>
          <w:p w14:paraId="101A174D" w14:textId="2C43856F" w:rsidR="00DA2ECF" w:rsidRPr="00157C5D" w:rsidRDefault="00157C5D">
            <w:pPr>
              <w:spacing w:line="276" w:lineRule="auto"/>
              <w:rPr>
                <w:rFonts w:ascii="Arial" w:hAnsi="Arial" w:cs="Arial"/>
                <w:sz w:val="22"/>
                <w:szCs w:val="22"/>
              </w:rPr>
            </w:pPr>
            <w:r w:rsidRPr="00157C5D">
              <w:rPr>
                <w:rFonts w:ascii="Arial" w:hAnsi="Arial" w:cs="Arial"/>
                <w:color w:val="181818"/>
                <w:sz w:val="22"/>
                <w:szCs w:val="22"/>
                <w:shd w:val="clear" w:color="auto" w:fill="FFFFFF"/>
              </w:rPr>
              <w:t>59 LEIGH ROAD, EASTLEIGH, SO50 9DF</w:t>
            </w:r>
          </w:p>
        </w:tc>
      </w:tr>
      <w:tr w:rsidR="00EA0957" w:rsidRPr="0005655C" w14:paraId="45B44D00"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1A9F9A67" w14:textId="77777777" w:rsidR="00DA2ECF" w:rsidRPr="00157C5D" w:rsidRDefault="00F20531">
            <w:pPr>
              <w:spacing w:line="276" w:lineRule="auto"/>
              <w:rPr>
                <w:rFonts w:ascii="Arial" w:hAnsi="Arial" w:cs="Arial"/>
                <w:color w:val="404040"/>
                <w:sz w:val="22"/>
                <w:szCs w:val="22"/>
              </w:rPr>
            </w:pPr>
            <w:r w:rsidRPr="00157C5D">
              <w:rPr>
                <w:rFonts w:ascii="Arial" w:hAnsi="Arial" w:cs="Arial"/>
                <w:color w:val="404040"/>
                <w:sz w:val="22"/>
                <w:szCs w:val="22"/>
              </w:rPr>
              <w:t>Application description:</w:t>
            </w:r>
          </w:p>
        </w:tc>
        <w:tc>
          <w:tcPr>
            <w:tcW w:w="7141" w:type="dxa"/>
            <w:tcBorders>
              <w:top w:val="single" w:sz="4" w:space="0" w:color="0083BE"/>
              <w:left w:val="single" w:sz="4" w:space="0" w:color="0083BE"/>
              <w:bottom w:val="single" w:sz="4" w:space="0" w:color="0083BE"/>
              <w:right w:val="single" w:sz="12" w:space="0" w:color="0083BE"/>
            </w:tcBorders>
            <w:hideMark/>
          </w:tcPr>
          <w:p w14:paraId="77F323E0" w14:textId="798DCBA7" w:rsidR="00DA2ECF" w:rsidRPr="00157C5D" w:rsidRDefault="00157C5D">
            <w:pPr>
              <w:pStyle w:val="DefaultText"/>
              <w:rPr>
                <w:rFonts w:cs="Arial"/>
                <w:sz w:val="22"/>
                <w:szCs w:val="22"/>
                <w:shd w:val="clear" w:color="auto" w:fill="FFFFFF"/>
              </w:rPr>
            </w:pPr>
            <w:r w:rsidRPr="00157C5D">
              <w:rPr>
                <w:rFonts w:cs="Arial"/>
                <w:color w:val="181818"/>
                <w:sz w:val="22"/>
                <w:szCs w:val="22"/>
                <w:shd w:val="clear" w:color="auto" w:fill="FFFFFF"/>
              </w:rPr>
              <w:t>Change of use from Office/ Salon (Use Class E) to Community Centre on ground floor (Use Class F1 &amp; F2) and 1no. one bed flat on first floor with associated external alterations, car parking, cycle and bin storage. Partial retention of offices on first floor.</w:t>
            </w:r>
          </w:p>
        </w:tc>
      </w:tr>
      <w:tr w:rsidR="00EA0957" w:rsidRPr="0005655C" w14:paraId="6C85963C"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30FABFF5" w14:textId="77777777" w:rsidR="00DA2ECF" w:rsidRPr="00157C5D" w:rsidRDefault="00F20531">
            <w:pPr>
              <w:spacing w:line="276" w:lineRule="auto"/>
              <w:rPr>
                <w:rFonts w:ascii="Arial" w:hAnsi="Arial" w:cs="Arial"/>
                <w:color w:val="404040"/>
                <w:sz w:val="22"/>
                <w:szCs w:val="22"/>
              </w:rPr>
            </w:pPr>
            <w:r w:rsidRPr="00157C5D">
              <w:rPr>
                <w:rFonts w:ascii="Arial" w:hAnsi="Arial" w:cs="Arial"/>
                <w:color w:val="404040"/>
                <w:sz w:val="22"/>
                <w:szCs w:val="22"/>
              </w:rPr>
              <w:t>Lead Planning Officer:</w:t>
            </w:r>
          </w:p>
        </w:tc>
        <w:tc>
          <w:tcPr>
            <w:tcW w:w="7141" w:type="dxa"/>
            <w:tcBorders>
              <w:top w:val="single" w:sz="4" w:space="0" w:color="0083BE"/>
              <w:left w:val="single" w:sz="4" w:space="0" w:color="0083BE"/>
              <w:bottom w:val="single" w:sz="4" w:space="0" w:color="0083BE"/>
              <w:right w:val="single" w:sz="12" w:space="0" w:color="0083BE"/>
            </w:tcBorders>
            <w:hideMark/>
          </w:tcPr>
          <w:p w14:paraId="1EA2F45F" w14:textId="42938082" w:rsidR="00DA2ECF" w:rsidRPr="00157C5D" w:rsidRDefault="00EA3141">
            <w:pPr>
              <w:spacing w:line="276" w:lineRule="auto"/>
              <w:rPr>
                <w:rFonts w:ascii="Arial" w:hAnsi="Arial" w:cs="Arial"/>
                <w:sz w:val="22"/>
                <w:szCs w:val="22"/>
              </w:rPr>
            </w:pPr>
            <w:r w:rsidRPr="00157C5D">
              <w:rPr>
                <w:rFonts w:ascii="Arial" w:hAnsi="Arial" w:cs="Arial"/>
                <w:sz w:val="22"/>
                <w:szCs w:val="22"/>
              </w:rPr>
              <w:t>Nick Parker</w:t>
            </w:r>
          </w:p>
        </w:tc>
      </w:tr>
      <w:tr w:rsidR="00EA0957" w:rsidRPr="0005655C" w14:paraId="08DF2DA1"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5BE15EB3" w14:textId="77777777" w:rsidR="00DA2ECF" w:rsidRPr="00157C5D" w:rsidRDefault="00F20531">
            <w:pPr>
              <w:spacing w:line="276" w:lineRule="auto"/>
              <w:rPr>
                <w:rFonts w:ascii="Arial" w:hAnsi="Arial" w:cs="Arial"/>
                <w:color w:val="404040"/>
                <w:sz w:val="22"/>
                <w:szCs w:val="22"/>
              </w:rPr>
            </w:pPr>
            <w:r w:rsidRPr="00157C5D">
              <w:rPr>
                <w:rFonts w:ascii="Arial" w:hAnsi="Arial" w:cs="Arial"/>
                <w:color w:val="404040"/>
                <w:sz w:val="22"/>
                <w:szCs w:val="22"/>
              </w:rPr>
              <w:t>Case Officer:</w:t>
            </w:r>
          </w:p>
        </w:tc>
        <w:tc>
          <w:tcPr>
            <w:tcW w:w="7141" w:type="dxa"/>
            <w:tcBorders>
              <w:top w:val="single" w:sz="4" w:space="0" w:color="0083BE"/>
              <w:left w:val="single" w:sz="4" w:space="0" w:color="0083BE"/>
              <w:bottom w:val="single" w:sz="4" w:space="0" w:color="0083BE"/>
              <w:right w:val="single" w:sz="12" w:space="0" w:color="0083BE"/>
            </w:tcBorders>
            <w:hideMark/>
          </w:tcPr>
          <w:p w14:paraId="6FFAF03C" w14:textId="751F8291" w:rsidR="00DA2ECF" w:rsidRPr="00157C5D" w:rsidRDefault="00E061F6">
            <w:pPr>
              <w:spacing w:line="276" w:lineRule="auto"/>
              <w:rPr>
                <w:rFonts w:ascii="Arial" w:hAnsi="Arial" w:cs="Arial"/>
                <w:sz w:val="22"/>
                <w:szCs w:val="22"/>
              </w:rPr>
            </w:pPr>
            <w:r w:rsidRPr="00157C5D">
              <w:rPr>
                <w:rFonts w:ascii="Arial" w:hAnsi="Arial" w:cs="Arial"/>
                <w:sz w:val="22"/>
                <w:szCs w:val="22"/>
              </w:rPr>
              <w:t>Clare Martin</w:t>
            </w:r>
          </w:p>
        </w:tc>
      </w:tr>
      <w:tr w:rsidR="00EA0957" w:rsidRPr="0005655C" w14:paraId="3CAB592A" w14:textId="77777777" w:rsidTr="00241DC7">
        <w:tc>
          <w:tcPr>
            <w:tcW w:w="9608" w:type="dxa"/>
            <w:gridSpan w:val="2"/>
            <w:tcBorders>
              <w:top w:val="single" w:sz="4" w:space="0" w:color="0083BE"/>
              <w:left w:val="single" w:sz="12" w:space="0" w:color="0083BE"/>
              <w:bottom w:val="single" w:sz="12" w:space="0" w:color="0083BE"/>
              <w:right w:val="single" w:sz="12" w:space="0" w:color="0083BE"/>
            </w:tcBorders>
            <w:shd w:val="clear" w:color="auto" w:fill="FFFFFF" w:themeFill="background1"/>
            <w:hideMark/>
          </w:tcPr>
          <w:p w14:paraId="74E62877" w14:textId="77777777" w:rsidR="00DA2ECF" w:rsidRPr="00157C5D" w:rsidRDefault="00F20531">
            <w:pPr>
              <w:spacing w:line="276" w:lineRule="auto"/>
              <w:rPr>
                <w:rFonts w:ascii="Arial" w:hAnsi="Arial" w:cs="Arial"/>
                <w:sz w:val="22"/>
                <w:szCs w:val="22"/>
              </w:rPr>
            </w:pPr>
            <w:r w:rsidRPr="00157C5D">
              <w:rPr>
                <w:rFonts w:ascii="Arial" w:hAnsi="Arial" w:cs="Arial"/>
                <w:sz w:val="22"/>
                <w:szCs w:val="22"/>
              </w:rPr>
              <w:t>Please note that all references in this assessment to the ‘Habitats Regulations’ refer to The Conservation of Habitats and Species Regulations 2017.</w:t>
            </w:r>
          </w:p>
        </w:tc>
      </w:tr>
    </w:tbl>
    <w:p w14:paraId="14886485" w14:textId="77777777" w:rsidR="00DA2ECF" w:rsidRPr="0005655C" w:rsidRDefault="00DA2ECF" w:rsidP="00491DBE">
      <w:pPr>
        <w:spacing w:line="276" w:lineRule="auto"/>
        <w:jc w:val="center"/>
        <w:rPr>
          <w:rFonts w:ascii="Arial" w:hAnsi="Arial" w:cs="Arial"/>
          <w:b/>
          <w:color w:val="404040"/>
          <w:sz w:val="22"/>
          <w:szCs w:val="22"/>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4820"/>
        <w:gridCol w:w="4788"/>
      </w:tblGrid>
      <w:tr w:rsidR="00EA0957" w:rsidRPr="0005655C" w14:paraId="3D90BEFE" w14:textId="77777777" w:rsidTr="00376970">
        <w:tc>
          <w:tcPr>
            <w:tcW w:w="9608" w:type="dxa"/>
            <w:gridSpan w:val="2"/>
            <w:tcBorders>
              <w:top w:val="single" w:sz="12" w:space="0" w:color="0083BE"/>
            </w:tcBorders>
            <w:shd w:val="clear" w:color="auto" w:fill="70AD47" w:themeFill="accent6"/>
          </w:tcPr>
          <w:p w14:paraId="4F850800" w14:textId="77777777" w:rsidR="00DA2ECF" w:rsidRPr="0005655C" w:rsidRDefault="00F20531" w:rsidP="003D781A">
            <w:pPr>
              <w:spacing w:line="276" w:lineRule="auto"/>
              <w:rPr>
                <w:rFonts w:ascii="Arial" w:hAnsi="Arial" w:cs="Arial"/>
                <w:b/>
                <w:sz w:val="22"/>
                <w:szCs w:val="22"/>
              </w:rPr>
            </w:pPr>
            <w:r w:rsidRPr="0005655C">
              <w:rPr>
                <w:rFonts w:ascii="Arial" w:hAnsi="Arial" w:cs="Arial"/>
                <w:b/>
                <w:color w:val="FFFFFF"/>
                <w:sz w:val="22"/>
                <w:szCs w:val="22"/>
              </w:rPr>
              <w:t>Stage 1 - details of the plan or project</w:t>
            </w:r>
          </w:p>
        </w:tc>
      </w:tr>
      <w:tr w:rsidR="00EA0957" w:rsidRPr="0005655C" w14:paraId="7C52152A" w14:textId="77777777" w:rsidTr="00376970">
        <w:tc>
          <w:tcPr>
            <w:tcW w:w="4820" w:type="dxa"/>
            <w:shd w:val="clear" w:color="auto" w:fill="A8D08D" w:themeFill="accent6" w:themeFillTint="99"/>
          </w:tcPr>
          <w:p w14:paraId="74FBEBB0" w14:textId="77777777" w:rsidR="00DA2ECF" w:rsidRPr="0005655C" w:rsidRDefault="00F20531" w:rsidP="00BF6948">
            <w:pPr>
              <w:spacing w:line="276" w:lineRule="auto"/>
              <w:rPr>
                <w:rFonts w:ascii="Arial" w:hAnsi="Arial" w:cs="Arial"/>
                <w:color w:val="404040"/>
                <w:sz w:val="22"/>
                <w:szCs w:val="22"/>
              </w:rPr>
            </w:pPr>
            <w:r w:rsidRPr="0005655C">
              <w:rPr>
                <w:rFonts w:ascii="Arial" w:hAnsi="Arial" w:cs="Arial"/>
                <w:color w:val="404040"/>
                <w:sz w:val="22"/>
                <w:szCs w:val="22"/>
              </w:rPr>
              <w:t>European site potentially impacted by planning application, plan or project:</w:t>
            </w:r>
          </w:p>
        </w:tc>
        <w:tc>
          <w:tcPr>
            <w:tcW w:w="4788" w:type="dxa"/>
          </w:tcPr>
          <w:p w14:paraId="1818A434" w14:textId="41006105" w:rsidR="005B136B" w:rsidRPr="0005655C" w:rsidRDefault="005B136B" w:rsidP="00BF6948">
            <w:pPr>
              <w:spacing w:line="276" w:lineRule="auto"/>
              <w:rPr>
                <w:rFonts w:ascii="Arial" w:hAnsi="Arial" w:cs="Arial"/>
                <w:sz w:val="22"/>
                <w:szCs w:val="22"/>
              </w:rPr>
            </w:pPr>
            <w:r w:rsidRPr="0005655C">
              <w:rPr>
                <w:rFonts w:ascii="Arial" w:hAnsi="Arial" w:cs="Arial"/>
                <w:sz w:val="22"/>
                <w:szCs w:val="22"/>
              </w:rPr>
              <w:t>Itchen SAC</w:t>
            </w:r>
          </w:p>
          <w:p w14:paraId="3D6694DA" w14:textId="0A3115A9" w:rsidR="00876A58" w:rsidRPr="0005655C" w:rsidRDefault="00876A58" w:rsidP="00BF6948">
            <w:pPr>
              <w:spacing w:line="276" w:lineRule="auto"/>
              <w:rPr>
                <w:rFonts w:ascii="Arial" w:hAnsi="Arial" w:cs="Arial"/>
                <w:sz w:val="22"/>
                <w:szCs w:val="22"/>
              </w:rPr>
            </w:pPr>
            <w:r w:rsidRPr="0005655C">
              <w:rPr>
                <w:rFonts w:ascii="Arial" w:hAnsi="Arial" w:cs="Arial"/>
                <w:sz w:val="22"/>
                <w:szCs w:val="22"/>
              </w:rPr>
              <w:t>Solent Maritime SAC</w:t>
            </w:r>
          </w:p>
          <w:p w14:paraId="3352C4AD" w14:textId="77777777" w:rsidR="00D2747D" w:rsidRPr="0005655C" w:rsidRDefault="00876A58" w:rsidP="00BF6948">
            <w:pPr>
              <w:spacing w:line="276" w:lineRule="auto"/>
              <w:rPr>
                <w:rFonts w:ascii="Arial" w:hAnsi="Arial" w:cs="Arial"/>
                <w:sz w:val="22"/>
                <w:szCs w:val="22"/>
              </w:rPr>
            </w:pPr>
            <w:r w:rsidRPr="0005655C">
              <w:rPr>
                <w:rFonts w:ascii="Arial" w:hAnsi="Arial" w:cs="Arial"/>
                <w:sz w:val="22"/>
                <w:szCs w:val="22"/>
              </w:rPr>
              <w:t>Solent and Southampton Water SPA</w:t>
            </w:r>
            <w:r w:rsidR="004124B1" w:rsidRPr="0005655C">
              <w:rPr>
                <w:rFonts w:ascii="Arial" w:hAnsi="Arial" w:cs="Arial"/>
                <w:sz w:val="22"/>
                <w:szCs w:val="22"/>
              </w:rPr>
              <w:t xml:space="preserve"> </w:t>
            </w:r>
          </w:p>
          <w:p w14:paraId="7F8DC1D5" w14:textId="5AFBDD19" w:rsidR="00734307" w:rsidRPr="0005655C" w:rsidRDefault="00734307" w:rsidP="00BF6948">
            <w:pPr>
              <w:spacing w:line="276" w:lineRule="auto"/>
              <w:rPr>
                <w:rFonts w:ascii="Arial" w:hAnsi="Arial" w:cs="Arial"/>
                <w:sz w:val="22"/>
                <w:szCs w:val="22"/>
              </w:rPr>
            </w:pPr>
            <w:r w:rsidRPr="0005655C">
              <w:rPr>
                <w:rFonts w:ascii="Arial" w:hAnsi="Arial" w:cs="Arial"/>
                <w:sz w:val="22"/>
                <w:szCs w:val="22"/>
              </w:rPr>
              <w:t>New Forest SPA</w:t>
            </w:r>
            <w:r w:rsidR="004B51C0" w:rsidRPr="0005655C">
              <w:rPr>
                <w:rFonts w:ascii="Arial" w:hAnsi="Arial" w:cs="Arial"/>
                <w:sz w:val="22"/>
                <w:szCs w:val="22"/>
              </w:rPr>
              <w:t>, SAC and Ramsar Site</w:t>
            </w:r>
          </w:p>
        </w:tc>
      </w:tr>
      <w:tr w:rsidR="00EA0957" w:rsidRPr="0005655C" w14:paraId="01A8BA6A" w14:textId="77777777" w:rsidTr="00376970">
        <w:tc>
          <w:tcPr>
            <w:tcW w:w="4820" w:type="dxa"/>
            <w:shd w:val="clear" w:color="auto" w:fill="A8D08D" w:themeFill="accent6" w:themeFillTint="99"/>
          </w:tcPr>
          <w:p w14:paraId="7402F825" w14:textId="77777777" w:rsidR="00DA2ECF" w:rsidRPr="0005655C" w:rsidRDefault="00F20531" w:rsidP="00BF6948">
            <w:pPr>
              <w:spacing w:line="276" w:lineRule="auto"/>
              <w:rPr>
                <w:rFonts w:ascii="Arial" w:hAnsi="Arial" w:cs="Arial"/>
                <w:color w:val="404040"/>
                <w:sz w:val="22"/>
                <w:szCs w:val="22"/>
              </w:rPr>
            </w:pPr>
            <w:r w:rsidRPr="0005655C">
              <w:rPr>
                <w:rFonts w:ascii="Arial" w:hAnsi="Arial" w:cs="Arial"/>
                <w:color w:val="404040"/>
                <w:sz w:val="22"/>
                <w:szCs w:val="22"/>
              </w:rPr>
              <w:t>Is the planning application directly connected with or necessary to the management of the site (if yes, Applicant should have provided details)?</w:t>
            </w:r>
          </w:p>
        </w:tc>
        <w:tc>
          <w:tcPr>
            <w:tcW w:w="4788" w:type="dxa"/>
          </w:tcPr>
          <w:p w14:paraId="30F6A871" w14:textId="23E3574A" w:rsidR="00DA2ECF" w:rsidRPr="0005655C" w:rsidRDefault="00F20531" w:rsidP="000163E7">
            <w:pPr>
              <w:spacing w:line="276" w:lineRule="auto"/>
              <w:rPr>
                <w:rFonts w:ascii="Arial" w:hAnsi="Arial" w:cs="Arial"/>
                <w:sz w:val="22"/>
                <w:szCs w:val="22"/>
              </w:rPr>
            </w:pPr>
            <w:r w:rsidRPr="0005655C">
              <w:rPr>
                <w:rFonts w:ascii="Arial" w:hAnsi="Arial" w:cs="Arial"/>
                <w:sz w:val="22"/>
                <w:szCs w:val="22"/>
              </w:rPr>
              <w:t xml:space="preserve">No. </w:t>
            </w:r>
            <w:r w:rsidR="00C6588D" w:rsidRPr="0005655C">
              <w:rPr>
                <w:rFonts w:ascii="Arial" w:hAnsi="Arial" w:cs="Arial"/>
                <w:sz w:val="22"/>
                <w:szCs w:val="22"/>
              </w:rPr>
              <w:t xml:space="preserve">The development is </w:t>
            </w:r>
            <w:r w:rsidRPr="0005655C">
              <w:rPr>
                <w:rFonts w:ascii="Arial" w:hAnsi="Arial" w:cs="Arial"/>
                <w:sz w:val="22"/>
                <w:szCs w:val="22"/>
              </w:rPr>
              <w:t>neither connected to nor necessary to the management of any European site.</w:t>
            </w:r>
          </w:p>
        </w:tc>
      </w:tr>
      <w:tr w:rsidR="00EA0957" w:rsidRPr="0005655C" w14:paraId="0B01BEA3" w14:textId="77777777" w:rsidTr="00376970">
        <w:tc>
          <w:tcPr>
            <w:tcW w:w="4820" w:type="dxa"/>
            <w:tcBorders>
              <w:bottom w:val="single" w:sz="12" w:space="0" w:color="0083BE"/>
            </w:tcBorders>
            <w:shd w:val="clear" w:color="auto" w:fill="A8D08D" w:themeFill="accent6" w:themeFillTint="99"/>
          </w:tcPr>
          <w:p w14:paraId="4104334C" w14:textId="77777777" w:rsidR="00DA2ECF" w:rsidRPr="0005655C" w:rsidRDefault="00F20531" w:rsidP="00BF6948">
            <w:pPr>
              <w:spacing w:line="276" w:lineRule="auto"/>
              <w:rPr>
                <w:rFonts w:ascii="Arial" w:hAnsi="Arial" w:cs="Arial"/>
                <w:color w:val="404040"/>
                <w:sz w:val="22"/>
                <w:szCs w:val="22"/>
              </w:rPr>
            </w:pPr>
            <w:r w:rsidRPr="0005655C">
              <w:rPr>
                <w:rFonts w:ascii="Arial" w:hAnsi="Arial" w:cs="Arial"/>
                <w:color w:val="404040"/>
                <w:sz w:val="22"/>
                <w:szCs w:val="22"/>
              </w:rPr>
              <w:t>Are there any other projects or plans that together with the planning application being assessed could affect the site (Applicant to provide details to allow an ‘in combination’ effect to be assessed)?</w:t>
            </w:r>
          </w:p>
        </w:tc>
        <w:tc>
          <w:tcPr>
            <w:tcW w:w="4788" w:type="dxa"/>
            <w:tcBorders>
              <w:bottom w:val="single" w:sz="12" w:space="0" w:color="0083BE"/>
            </w:tcBorders>
          </w:tcPr>
          <w:p w14:paraId="0346B803" w14:textId="2E6AE0A5" w:rsidR="000A51EB" w:rsidRPr="0005655C" w:rsidRDefault="000A51EB" w:rsidP="000A51EB">
            <w:pPr>
              <w:pStyle w:val="NoSpacing"/>
              <w:rPr>
                <w:rFonts w:ascii="Arial" w:hAnsi="Arial" w:cs="Arial"/>
                <w:sz w:val="22"/>
                <w:szCs w:val="22"/>
              </w:rPr>
            </w:pPr>
            <w:r w:rsidRPr="0005655C">
              <w:rPr>
                <w:rFonts w:ascii="Arial" w:hAnsi="Arial" w:cs="Arial"/>
                <w:sz w:val="22"/>
                <w:szCs w:val="22"/>
              </w:rPr>
              <w:t xml:space="preserve">Yes. </w:t>
            </w:r>
          </w:p>
          <w:p w14:paraId="4B0DF1FA" w14:textId="77777777" w:rsidR="000A51EB" w:rsidRPr="0005655C" w:rsidRDefault="000A51EB" w:rsidP="000A51EB">
            <w:pPr>
              <w:autoSpaceDE w:val="0"/>
              <w:autoSpaceDN w:val="0"/>
              <w:adjustRightInd w:val="0"/>
              <w:rPr>
                <w:rFonts w:ascii="Arial" w:hAnsi="Arial" w:cs="Arial"/>
                <w:sz w:val="22"/>
                <w:szCs w:val="22"/>
              </w:rPr>
            </w:pPr>
          </w:p>
          <w:p w14:paraId="7108E813" w14:textId="120D971D" w:rsidR="000A51EB" w:rsidRPr="0005655C" w:rsidRDefault="000A51EB" w:rsidP="000A51EB">
            <w:pPr>
              <w:autoSpaceDE w:val="0"/>
              <w:autoSpaceDN w:val="0"/>
              <w:adjustRightInd w:val="0"/>
              <w:rPr>
                <w:rFonts w:ascii="Arial" w:hAnsi="Arial" w:cs="Arial"/>
                <w:sz w:val="22"/>
                <w:szCs w:val="22"/>
              </w:rPr>
            </w:pPr>
            <w:r w:rsidRPr="0005655C">
              <w:rPr>
                <w:rFonts w:ascii="Arial" w:hAnsi="Arial" w:cs="Arial"/>
                <w:sz w:val="22"/>
                <w:szCs w:val="22"/>
              </w:rPr>
              <w:t>There have been other recent applications permitted in the locality. All schemes have mitigation measures secured</w:t>
            </w:r>
            <w:r w:rsidR="00A243A9" w:rsidRPr="0005655C">
              <w:rPr>
                <w:rFonts w:ascii="Arial" w:hAnsi="Arial" w:cs="Arial"/>
                <w:sz w:val="22"/>
                <w:szCs w:val="22"/>
              </w:rPr>
              <w:t xml:space="preserve"> to protect the integrity of the </w:t>
            </w:r>
            <w:r w:rsidR="00183712" w:rsidRPr="0005655C">
              <w:rPr>
                <w:rFonts w:ascii="Arial" w:hAnsi="Arial" w:cs="Arial"/>
                <w:sz w:val="22"/>
                <w:szCs w:val="22"/>
              </w:rPr>
              <w:t>protected areas</w:t>
            </w:r>
            <w:r w:rsidRPr="0005655C">
              <w:rPr>
                <w:rFonts w:ascii="Arial" w:hAnsi="Arial" w:cs="Arial"/>
                <w:sz w:val="22"/>
                <w:szCs w:val="22"/>
              </w:rPr>
              <w:t>, and with these mitigation measures in place for all approved schemes, there is not considered to be any likely significant in-combination impact.</w:t>
            </w:r>
          </w:p>
          <w:p w14:paraId="71C76F32" w14:textId="4E4D3713" w:rsidR="00DA2ECF" w:rsidRPr="0005655C" w:rsidRDefault="00DA2ECF" w:rsidP="00595391">
            <w:pPr>
              <w:pStyle w:val="ListParagraph"/>
              <w:spacing w:line="276" w:lineRule="auto"/>
              <w:ind w:left="0"/>
              <w:rPr>
                <w:rFonts w:ascii="Arial" w:hAnsi="Arial" w:cs="Arial"/>
                <w:sz w:val="22"/>
                <w:szCs w:val="22"/>
              </w:rPr>
            </w:pPr>
          </w:p>
        </w:tc>
      </w:tr>
      <w:tr w:rsidR="00EA0957" w:rsidRPr="0005655C" w14:paraId="2C35CCE3" w14:textId="77777777" w:rsidTr="00E235BE">
        <w:tc>
          <w:tcPr>
            <w:tcW w:w="9608" w:type="dxa"/>
            <w:gridSpan w:val="2"/>
            <w:tcBorders>
              <w:top w:val="single" w:sz="12" w:space="0" w:color="0083BE"/>
              <w:left w:val="nil"/>
              <w:bottom w:val="single" w:sz="12" w:space="0" w:color="0083BE"/>
              <w:right w:val="nil"/>
            </w:tcBorders>
          </w:tcPr>
          <w:p w14:paraId="5CFB353A" w14:textId="77777777" w:rsidR="00DA2ECF" w:rsidRPr="0005655C" w:rsidRDefault="00DA2ECF" w:rsidP="003D781A">
            <w:pPr>
              <w:spacing w:line="276" w:lineRule="auto"/>
              <w:rPr>
                <w:rFonts w:ascii="Arial" w:hAnsi="Arial" w:cs="Arial"/>
                <w:sz w:val="22"/>
                <w:szCs w:val="22"/>
              </w:rPr>
            </w:pPr>
          </w:p>
        </w:tc>
      </w:tr>
      <w:tr w:rsidR="00EA0957" w:rsidRPr="0005655C" w14:paraId="0D070C66" w14:textId="77777777" w:rsidTr="00376970">
        <w:tc>
          <w:tcPr>
            <w:tcW w:w="9608" w:type="dxa"/>
            <w:gridSpan w:val="2"/>
            <w:tcBorders>
              <w:top w:val="single" w:sz="12" w:space="0" w:color="0083BE"/>
            </w:tcBorders>
            <w:shd w:val="clear" w:color="auto" w:fill="70AD47" w:themeFill="accent6"/>
          </w:tcPr>
          <w:p w14:paraId="2701D9A3" w14:textId="77777777" w:rsidR="00DA2ECF" w:rsidRPr="0005655C" w:rsidRDefault="00F20531" w:rsidP="003D781A">
            <w:pPr>
              <w:spacing w:line="276" w:lineRule="auto"/>
              <w:rPr>
                <w:rFonts w:ascii="Arial" w:hAnsi="Arial" w:cs="Arial"/>
                <w:b/>
                <w:sz w:val="22"/>
                <w:szCs w:val="22"/>
              </w:rPr>
            </w:pPr>
            <w:r w:rsidRPr="0005655C">
              <w:rPr>
                <w:rFonts w:ascii="Arial" w:hAnsi="Arial" w:cs="Arial"/>
                <w:b/>
                <w:color w:val="FFFFFF"/>
                <w:sz w:val="22"/>
                <w:szCs w:val="22"/>
              </w:rPr>
              <w:t>Stage 2 - HRA screening assessment</w:t>
            </w:r>
          </w:p>
        </w:tc>
      </w:tr>
      <w:tr w:rsidR="00EA0957" w:rsidRPr="0005655C" w14:paraId="7D1576B7" w14:textId="77777777" w:rsidTr="00376970">
        <w:tc>
          <w:tcPr>
            <w:tcW w:w="9608" w:type="dxa"/>
            <w:gridSpan w:val="2"/>
            <w:shd w:val="clear" w:color="auto" w:fill="A8D08D" w:themeFill="accent6" w:themeFillTint="99"/>
          </w:tcPr>
          <w:p w14:paraId="627351C9" w14:textId="77777777" w:rsidR="00DA2ECF" w:rsidRPr="0005655C" w:rsidRDefault="00F20531" w:rsidP="003D781A">
            <w:pPr>
              <w:spacing w:line="276" w:lineRule="auto"/>
              <w:rPr>
                <w:rFonts w:ascii="Arial" w:hAnsi="Arial" w:cs="Arial"/>
                <w:sz w:val="22"/>
                <w:szCs w:val="22"/>
              </w:rPr>
            </w:pPr>
            <w:r w:rsidRPr="0005655C">
              <w:rPr>
                <w:rFonts w:ascii="Arial" w:hAnsi="Arial" w:cs="Arial"/>
                <w:sz w:val="22"/>
                <w:szCs w:val="22"/>
              </w:rPr>
              <w:t>Screening under Regulation 63(1)(a) of the Habitats Regulations – The Applicant to provide evidence so that a judgement can be made as to whether there could be any potential significant impacts of the development on the integrity of the SPA/SAC/Ramsar.</w:t>
            </w:r>
          </w:p>
        </w:tc>
      </w:tr>
      <w:tr w:rsidR="00EA0957" w:rsidRPr="0005655C" w14:paraId="14B39950" w14:textId="77777777" w:rsidTr="00E235BE">
        <w:tc>
          <w:tcPr>
            <w:tcW w:w="9608" w:type="dxa"/>
            <w:gridSpan w:val="2"/>
          </w:tcPr>
          <w:p w14:paraId="6C38FC96" w14:textId="77777777" w:rsidR="000C045C" w:rsidRPr="0005655C" w:rsidRDefault="000C045C" w:rsidP="00F77C3A">
            <w:pPr>
              <w:spacing w:line="276" w:lineRule="auto"/>
              <w:jc w:val="both"/>
              <w:rPr>
                <w:rFonts w:ascii="Arial" w:hAnsi="Arial" w:cs="Arial"/>
                <w:sz w:val="22"/>
                <w:szCs w:val="22"/>
                <w:u w:val="single"/>
              </w:rPr>
            </w:pPr>
          </w:p>
          <w:p w14:paraId="4F88F9EE" w14:textId="769C7B74" w:rsidR="00886865" w:rsidRPr="0005655C" w:rsidRDefault="00886865" w:rsidP="00F77C3A">
            <w:pPr>
              <w:spacing w:line="276" w:lineRule="auto"/>
              <w:jc w:val="both"/>
              <w:rPr>
                <w:rFonts w:ascii="Arial" w:hAnsi="Arial" w:cs="Arial"/>
                <w:sz w:val="22"/>
                <w:szCs w:val="22"/>
                <w:u w:val="single"/>
              </w:rPr>
            </w:pPr>
            <w:r w:rsidRPr="0005655C">
              <w:rPr>
                <w:rFonts w:ascii="Arial" w:hAnsi="Arial" w:cs="Arial"/>
                <w:sz w:val="22"/>
                <w:szCs w:val="22"/>
                <w:u w:val="single"/>
              </w:rPr>
              <w:t>Recreational disturbance (New Forest)</w:t>
            </w:r>
          </w:p>
          <w:p w14:paraId="62B8F304" w14:textId="77777777" w:rsidR="00886865" w:rsidRPr="0005655C" w:rsidRDefault="00886865" w:rsidP="00F77C3A">
            <w:pPr>
              <w:spacing w:line="276" w:lineRule="auto"/>
              <w:jc w:val="both"/>
              <w:rPr>
                <w:rFonts w:ascii="Arial" w:hAnsi="Arial" w:cs="Arial"/>
                <w:sz w:val="22"/>
                <w:szCs w:val="22"/>
                <w:u w:val="single"/>
              </w:rPr>
            </w:pPr>
          </w:p>
          <w:p w14:paraId="42233C30" w14:textId="6DAE5810" w:rsidR="00E33957" w:rsidRPr="0005655C" w:rsidRDefault="00886865" w:rsidP="00E33957">
            <w:pPr>
              <w:spacing w:line="276" w:lineRule="auto"/>
              <w:jc w:val="both"/>
              <w:rPr>
                <w:rFonts w:ascii="Arial" w:hAnsi="Arial" w:cs="Arial"/>
                <w:sz w:val="22"/>
                <w:szCs w:val="22"/>
              </w:rPr>
            </w:pPr>
            <w:r w:rsidRPr="0005655C">
              <w:rPr>
                <w:rFonts w:ascii="Arial" w:hAnsi="Arial" w:cs="Arial"/>
                <w:sz w:val="22"/>
                <w:szCs w:val="22"/>
              </w:rPr>
              <w:lastRenderedPageBreak/>
              <w:t>The proposed development is within the 13.8km catchment zone for the New Forest SPA, and it has been identified that new housing development</w:t>
            </w:r>
            <w:r w:rsidR="008446C4" w:rsidRPr="0005655C">
              <w:rPr>
                <w:rFonts w:ascii="Arial" w:hAnsi="Arial" w:cs="Arial"/>
                <w:sz w:val="22"/>
                <w:szCs w:val="22"/>
              </w:rPr>
              <w:t xml:space="preserve"> or overnight accommodation</w:t>
            </w:r>
            <w:r w:rsidRPr="0005655C">
              <w:rPr>
                <w:rFonts w:ascii="Arial" w:hAnsi="Arial" w:cs="Arial"/>
                <w:sz w:val="22"/>
                <w:szCs w:val="22"/>
              </w:rPr>
              <w:t xml:space="preserve"> has the potential to result in increased recreational pressure on the SPA predominantly from dog walking.  </w:t>
            </w:r>
            <w:r w:rsidR="00E33957" w:rsidRPr="0005655C">
              <w:rPr>
                <w:rFonts w:ascii="Arial" w:hAnsi="Arial" w:cs="Arial"/>
                <w:sz w:val="22"/>
                <w:szCs w:val="22"/>
              </w:rPr>
              <w:t>There is, therefore, the cumulative potential for future housing</w:t>
            </w:r>
            <w:r w:rsidR="008446C4" w:rsidRPr="0005655C">
              <w:rPr>
                <w:rFonts w:ascii="Arial" w:hAnsi="Arial" w:cs="Arial"/>
                <w:sz w:val="22"/>
                <w:szCs w:val="22"/>
              </w:rPr>
              <w:t xml:space="preserve"> /overnight accommodation</w:t>
            </w:r>
            <w:r w:rsidR="00E33957" w:rsidRPr="0005655C">
              <w:rPr>
                <w:rFonts w:ascii="Arial" w:hAnsi="Arial" w:cs="Arial"/>
                <w:sz w:val="22"/>
                <w:szCs w:val="22"/>
              </w:rPr>
              <w:t xml:space="preserve"> developments across the borough of Eastleigh to impact the status and distribution of key bird species and therefore act against the stated conservation objectives of these European sites. </w:t>
            </w:r>
          </w:p>
          <w:p w14:paraId="037D653B" w14:textId="77777777" w:rsidR="000B70C3" w:rsidRPr="0005655C" w:rsidRDefault="000B70C3" w:rsidP="00F77C3A">
            <w:pPr>
              <w:spacing w:line="276" w:lineRule="auto"/>
              <w:rPr>
                <w:rFonts w:ascii="Arial" w:hAnsi="Arial" w:cs="Arial"/>
                <w:sz w:val="22"/>
                <w:szCs w:val="22"/>
                <w:u w:val="single"/>
              </w:rPr>
            </w:pPr>
          </w:p>
          <w:p w14:paraId="747FB381" w14:textId="656C36C1" w:rsidR="00F77C3A" w:rsidRPr="0005655C" w:rsidRDefault="00F77C3A" w:rsidP="00F77C3A">
            <w:pPr>
              <w:spacing w:line="276" w:lineRule="auto"/>
              <w:rPr>
                <w:rFonts w:ascii="Arial" w:hAnsi="Arial" w:cs="Arial"/>
                <w:sz w:val="22"/>
                <w:szCs w:val="22"/>
                <w:u w:val="single"/>
              </w:rPr>
            </w:pPr>
            <w:r w:rsidRPr="0005655C">
              <w:rPr>
                <w:rFonts w:ascii="Arial" w:hAnsi="Arial" w:cs="Arial"/>
                <w:sz w:val="22"/>
                <w:szCs w:val="22"/>
                <w:u w:val="single"/>
              </w:rPr>
              <w:t>Nutrient neutrality:</w:t>
            </w:r>
          </w:p>
          <w:p w14:paraId="62165159" w14:textId="77777777" w:rsidR="00F77C3A" w:rsidRPr="0005655C" w:rsidRDefault="00F77C3A" w:rsidP="00F77C3A">
            <w:pPr>
              <w:spacing w:line="276" w:lineRule="auto"/>
              <w:rPr>
                <w:rFonts w:ascii="Arial" w:hAnsi="Arial" w:cs="Arial"/>
                <w:sz w:val="22"/>
                <w:szCs w:val="22"/>
              </w:rPr>
            </w:pPr>
          </w:p>
          <w:p w14:paraId="0D3BBC58" w14:textId="08CEF330" w:rsidR="00F77C3A" w:rsidRPr="0005655C" w:rsidRDefault="00F77C3A" w:rsidP="00F77C3A">
            <w:pPr>
              <w:spacing w:line="276" w:lineRule="auto"/>
              <w:rPr>
                <w:rFonts w:ascii="Arial" w:hAnsi="Arial" w:cs="Arial"/>
                <w:sz w:val="22"/>
                <w:szCs w:val="22"/>
              </w:rPr>
            </w:pPr>
            <w:r w:rsidRPr="0005655C">
              <w:rPr>
                <w:rFonts w:ascii="Arial" w:hAnsi="Arial" w:cs="Arial"/>
                <w:sz w:val="22"/>
                <w:szCs w:val="22"/>
              </w:rPr>
              <w:t xml:space="preserve">There is existing evidence of high levels </w:t>
            </w:r>
            <w:r w:rsidR="00BC281A" w:rsidRPr="0005655C">
              <w:rPr>
                <w:rFonts w:ascii="Arial" w:hAnsi="Arial" w:cs="Arial"/>
                <w:sz w:val="22"/>
                <w:szCs w:val="22"/>
              </w:rPr>
              <w:t xml:space="preserve">of nutrient </w:t>
            </w:r>
            <w:r w:rsidRPr="0005655C">
              <w:rPr>
                <w:rFonts w:ascii="Arial" w:hAnsi="Arial" w:cs="Arial"/>
                <w:sz w:val="22"/>
                <w:szCs w:val="22"/>
              </w:rPr>
              <w:t xml:space="preserve">input into Solent complex and that these nutrients are causing eutrophication at these designated sites. Natural England has advised that the resulting effects arising from this eutrophication cause dense green mats of algae, which are impacting on the Solent’s protected habitats and bird species and that wastewater from </w:t>
            </w:r>
            <w:r w:rsidR="005C560A" w:rsidRPr="0005655C">
              <w:rPr>
                <w:rFonts w:ascii="Arial" w:hAnsi="Arial" w:cs="Arial"/>
                <w:sz w:val="22"/>
                <w:szCs w:val="22"/>
              </w:rPr>
              <w:t xml:space="preserve">residential </w:t>
            </w:r>
            <w:r w:rsidRPr="0005655C">
              <w:rPr>
                <w:rFonts w:ascii="Arial" w:hAnsi="Arial" w:cs="Arial"/>
                <w:sz w:val="22"/>
                <w:szCs w:val="22"/>
              </w:rPr>
              <w:t xml:space="preserve">development has been identified as contributing to these nutrient inputs. </w:t>
            </w:r>
          </w:p>
          <w:p w14:paraId="47B53CDB" w14:textId="77777777" w:rsidR="00F77C3A" w:rsidRPr="0005655C" w:rsidRDefault="00F77C3A" w:rsidP="00F77C3A">
            <w:pPr>
              <w:spacing w:line="276" w:lineRule="auto"/>
              <w:rPr>
                <w:rFonts w:ascii="Arial" w:hAnsi="Arial" w:cs="Arial"/>
                <w:sz w:val="22"/>
                <w:szCs w:val="22"/>
              </w:rPr>
            </w:pPr>
          </w:p>
          <w:p w14:paraId="28B0096F" w14:textId="7D1AA1A8" w:rsidR="00F77C3A" w:rsidRPr="0005655C" w:rsidRDefault="00F77C3A" w:rsidP="00C26524">
            <w:pPr>
              <w:spacing w:line="276" w:lineRule="auto"/>
              <w:rPr>
                <w:rFonts w:ascii="Arial" w:hAnsi="Arial" w:cs="Arial"/>
                <w:sz w:val="22"/>
                <w:szCs w:val="22"/>
              </w:rPr>
            </w:pPr>
            <w:r w:rsidRPr="0005655C">
              <w:rPr>
                <w:rFonts w:ascii="Arial" w:hAnsi="Arial" w:cs="Arial"/>
                <w:sz w:val="22"/>
                <w:szCs w:val="22"/>
              </w:rPr>
              <w:t xml:space="preserve">There is the potential for future housing developments across the </w:t>
            </w:r>
            <w:r w:rsidR="004F0086" w:rsidRPr="0005655C">
              <w:rPr>
                <w:rFonts w:ascii="Arial" w:hAnsi="Arial" w:cs="Arial"/>
                <w:sz w:val="22"/>
                <w:szCs w:val="22"/>
              </w:rPr>
              <w:t xml:space="preserve">River Itchen and </w:t>
            </w:r>
            <w:r w:rsidRPr="0005655C">
              <w:rPr>
                <w:rFonts w:ascii="Arial" w:hAnsi="Arial" w:cs="Arial"/>
                <w:sz w:val="22"/>
                <w:szCs w:val="22"/>
              </w:rPr>
              <w:t xml:space="preserve">Solent region to further exacerbate these impacts and thereby create a risk to the potential future conservation status of the Solent Complex and the features for which it is designated, therefore acting against the stated conservation objectives of the European sites.  </w:t>
            </w:r>
          </w:p>
          <w:p w14:paraId="628D3D69" w14:textId="77777777" w:rsidR="006640FF" w:rsidRPr="0005655C" w:rsidRDefault="006640FF" w:rsidP="003D781A">
            <w:pPr>
              <w:spacing w:line="276" w:lineRule="auto"/>
              <w:jc w:val="both"/>
              <w:rPr>
                <w:rFonts w:ascii="Arial" w:hAnsi="Arial" w:cs="Arial"/>
                <w:sz w:val="22"/>
                <w:szCs w:val="22"/>
                <w:u w:val="single"/>
              </w:rPr>
            </w:pPr>
          </w:p>
          <w:p w14:paraId="179D1E4C" w14:textId="2A1DF37A" w:rsidR="00DA2ECF" w:rsidRPr="0005655C" w:rsidRDefault="00F20531" w:rsidP="003D781A">
            <w:pPr>
              <w:spacing w:line="276" w:lineRule="auto"/>
              <w:jc w:val="both"/>
              <w:rPr>
                <w:rFonts w:ascii="Arial" w:hAnsi="Arial" w:cs="Arial"/>
                <w:b/>
                <w:sz w:val="22"/>
                <w:szCs w:val="22"/>
              </w:rPr>
            </w:pPr>
            <w:r w:rsidRPr="0005655C">
              <w:rPr>
                <w:rFonts w:ascii="Arial" w:hAnsi="Arial" w:cs="Arial"/>
                <w:b/>
                <w:sz w:val="22"/>
                <w:szCs w:val="22"/>
              </w:rPr>
              <w:t xml:space="preserve">Would the proposal lead to a likely significant effect on European site integrity? </w:t>
            </w:r>
            <w:proofErr w:type="gramStart"/>
            <w:r w:rsidR="002A066B" w:rsidRPr="0005655C">
              <w:rPr>
                <w:rFonts w:ascii="Arial" w:hAnsi="Arial" w:cs="Arial"/>
                <w:b/>
                <w:sz w:val="22"/>
                <w:szCs w:val="22"/>
              </w:rPr>
              <w:t>YES</w:t>
            </w:r>
            <w:proofErr w:type="gramEnd"/>
            <w:r w:rsidR="002A066B" w:rsidRPr="0005655C">
              <w:rPr>
                <w:rFonts w:ascii="Arial" w:hAnsi="Arial" w:cs="Arial"/>
                <w:b/>
                <w:sz w:val="22"/>
                <w:szCs w:val="22"/>
              </w:rPr>
              <w:t xml:space="preserve"> if no mitigation in place. </w:t>
            </w:r>
          </w:p>
          <w:p w14:paraId="01A00F12" w14:textId="77777777" w:rsidR="00DA2ECF" w:rsidRPr="0005655C" w:rsidRDefault="00DA2ECF" w:rsidP="003D781A">
            <w:pPr>
              <w:spacing w:line="276" w:lineRule="auto"/>
              <w:jc w:val="both"/>
              <w:rPr>
                <w:rFonts w:ascii="Arial" w:hAnsi="Arial" w:cs="Arial"/>
                <w:sz w:val="22"/>
                <w:szCs w:val="22"/>
              </w:rPr>
            </w:pPr>
          </w:p>
          <w:p w14:paraId="746EE79F" w14:textId="77777777" w:rsidR="00DA2ECF" w:rsidRPr="0005655C" w:rsidRDefault="00F20531" w:rsidP="003D781A">
            <w:pPr>
              <w:spacing w:line="276" w:lineRule="auto"/>
              <w:jc w:val="both"/>
              <w:rPr>
                <w:rFonts w:ascii="Arial" w:hAnsi="Arial" w:cs="Arial"/>
                <w:sz w:val="22"/>
                <w:szCs w:val="22"/>
              </w:rPr>
            </w:pPr>
            <w:r w:rsidRPr="0005655C">
              <w:rPr>
                <w:rFonts w:ascii="Arial" w:hAnsi="Arial" w:cs="Arial"/>
                <w:sz w:val="22"/>
                <w:szCs w:val="22"/>
              </w:rPr>
              <w:t>(If yes, continue to Stage 3).</w:t>
            </w:r>
          </w:p>
          <w:p w14:paraId="5DB8C6E8" w14:textId="77777777" w:rsidR="00DA2ECF" w:rsidRPr="0005655C" w:rsidRDefault="00DA2ECF" w:rsidP="003D781A">
            <w:pPr>
              <w:spacing w:line="276" w:lineRule="auto"/>
              <w:jc w:val="both"/>
              <w:rPr>
                <w:rFonts w:ascii="Arial" w:hAnsi="Arial" w:cs="Arial"/>
                <w:sz w:val="22"/>
                <w:szCs w:val="22"/>
              </w:rPr>
            </w:pPr>
          </w:p>
        </w:tc>
      </w:tr>
      <w:tr w:rsidR="00EA0957" w:rsidRPr="0005655C" w14:paraId="1BCA40F9" w14:textId="77777777" w:rsidTr="00376970">
        <w:tc>
          <w:tcPr>
            <w:tcW w:w="9608" w:type="dxa"/>
            <w:gridSpan w:val="2"/>
            <w:tcBorders>
              <w:top w:val="single" w:sz="12" w:space="0" w:color="0083BE"/>
            </w:tcBorders>
            <w:shd w:val="clear" w:color="auto" w:fill="70AD47" w:themeFill="accent6"/>
          </w:tcPr>
          <w:p w14:paraId="490D3C2C" w14:textId="77777777" w:rsidR="00DA2ECF" w:rsidRPr="0005655C" w:rsidRDefault="00F20531" w:rsidP="003D781A">
            <w:pPr>
              <w:spacing w:line="276" w:lineRule="auto"/>
              <w:rPr>
                <w:rFonts w:ascii="Arial" w:hAnsi="Arial" w:cs="Arial"/>
                <w:b/>
                <w:sz w:val="22"/>
                <w:szCs w:val="22"/>
              </w:rPr>
            </w:pPr>
            <w:r w:rsidRPr="0005655C">
              <w:rPr>
                <w:rFonts w:ascii="Arial" w:hAnsi="Arial" w:cs="Arial"/>
                <w:b/>
                <w:color w:val="FFFFFF"/>
                <w:sz w:val="22"/>
                <w:szCs w:val="22"/>
              </w:rPr>
              <w:lastRenderedPageBreak/>
              <w:t>Stage 3 - Appropriate Assessment</w:t>
            </w:r>
          </w:p>
        </w:tc>
      </w:tr>
      <w:tr w:rsidR="00EA0957" w:rsidRPr="0005655C" w14:paraId="4E3E3DF3" w14:textId="77777777" w:rsidTr="00376970">
        <w:tc>
          <w:tcPr>
            <w:tcW w:w="9608" w:type="dxa"/>
            <w:gridSpan w:val="2"/>
            <w:shd w:val="clear" w:color="auto" w:fill="A8D08D" w:themeFill="accent6" w:themeFillTint="99"/>
          </w:tcPr>
          <w:p w14:paraId="392B53E5" w14:textId="77777777" w:rsidR="00DA2ECF" w:rsidRPr="0005655C" w:rsidRDefault="00F20531" w:rsidP="003D781A">
            <w:pPr>
              <w:spacing w:line="276" w:lineRule="auto"/>
              <w:rPr>
                <w:rFonts w:ascii="Arial" w:hAnsi="Arial" w:cs="Arial"/>
                <w:sz w:val="22"/>
                <w:szCs w:val="22"/>
              </w:rPr>
            </w:pPr>
            <w:r w:rsidRPr="0005655C">
              <w:rPr>
                <w:rFonts w:ascii="Arial" w:hAnsi="Arial" w:cs="Arial"/>
                <w:sz w:val="22"/>
                <w:szCs w:val="22"/>
              </w:rPr>
              <w:t xml:space="preserve">Appropriate Assessment under Regulation 63(1) - if there are any potential significant impacts, the applicant must provide evidence showing avoidance and/or mitigation measures to allow an Assessment to be made.  The Applicant must also provide details which demonstrate any </w:t>
            </w:r>
            <w:proofErr w:type="gramStart"/>
            <w:r w:rsidRPr="0005655C">
              <w:rPr>
                <w:rFonts w:ascii="Arial" w:hAnsi="Arial" w:cs="Arial"/>
                <w:sz w:val="22"/>
                <w:szCs w:val="22"/>
              </w:rPr>
              <w:t>long term</w:t>
            </w:r>
            <w:proofErr w:type="gramEnd"/>
            <w:r w:rsidRPr="0005655C">
              <w:rPr>
                <w:rFonts w:ascii="Arial" w:hAnsi="Arial" w:cs="Arial"/>
                <w:sz w:val="22"/>
                <w:szCs w:val="22"/>
              </w:rPr>
              <w:t xml:space="preserve"> management, maintenance and funding of any solution.</w:t>
            </w:r>
          </w:p>
        </w:tc>
      </w:tr>
      <w:tr w:rsidR="00EA0957" w:rsidRPr="0005655C" w14:paraId="1EF98E3F" w14:textId="77777777" w:rsidTr="00E235BE">
        <w:tc>
          <w:tcPr>
            <w:tcW w:w="9608" w:type="dxa"/>
            <w:gridSpan w:val="2"/>
          </w:tcPr>
          <w:p w14:paraId="352F4BBB" w14:textId="77777777" w:rsidR="00E7011F" w:rsidRPr="0005655C" w:rsidRDefault="00E7011F" w:rsidP="0070698A">
            <w:pPr>
              <w:spacing w:line="276" w:lineRule="auto"/>
              <w:jc w:val="both"/>
              <w:rPr>
                <w:rFonts w:ascii="Arial" w:hAnsi="Arial" w:cs="Arial"/>
                <w:sz w:val="22"/>
                <w:szCs w:val="22"/>
                <w:u w:val="single"/>
              </w:rPr>
            </w:pPr>
          </w:p>
          <w:p w14:paraId="30D65E05" w14:textId="0AD1FEF9" w:rsidR="003F4430" w:rsidRPr="0005655C" w:rsidRDefault="003F4430" w:rsidP="0070698A">
            <w:pPr>
              <w:spacing w:line="276" w:lineRule="auto"/>
              <w:jc w:val="both"/>
              <w:rPr>
                <w:rFonts w:ascii="Arial" w:hAnsi="Arial" w:cs="Arial"/>
                <w:sz w:val="22"/>
                <w:szCs w:val="22"/>
                <w:u w:val="single"/>
              </w:rPr>
            </w:pPr>
            <w:r w:rsidRPr="0005655C">
              <w:rPr>
                <w:rFonts w:ascii="Arial" w:hAnsi="Arial" w:cs="Arial"/>
                <w:sz w:val="22"/>
                <w:szCs w:val="22"/>
                <w:u w:val="single"/>
              </w:rPr>
              <w:t>Recreational impacts on the New Forest SPA</w:t>
            </w:r>
          </w:p>
          <w:p w14:paraId="2470D161" w14:textId="171D412B" w:rsidR="003F4430" w:rsidRPr="0005655C" w:rsidRDefault="003F4430" w:rsidP="0070698A">
            <w:pPr>
              <w:spacing w:line="276" w:lineRule="auto"/>
              <w:jc w:val="both"/>
              <w:rPr>
                <w:rFonts w:ascii="Arial" w:hAnsi="Arial" w:cs="Arial"/>
                <w:sz w:val="22"/>
                <w:szCs w:val="22"/>
                <w:u w:val="single"/>
              </w:rPr>
            </w:pPr>
          </w:p>
          <w:p w14:paraId="7B23E1BE" w14:textId="6B04B7CB" w:rsidR="00471F39" w:rsidRPr="0005655C" w:rsidRDefault="00471F39" w:rsidP="00471F39">
            <w:pPr>
              <w:spacing w:line="276" w:lineRule="auto"/>
              <w:rPr>
                <w:rFonts w:ascii="Arial" w:hAnsi="Arial" w:cs="Arial"/>
                <w:sz w:val="22"/>
                <w:szCs w:val="22"/>
              </w:rPr>
            </w:pPr>
            <w:r w:rsidRPr="0005655C">
              <w:rPr>
                <w:rFonts w:ascii="Arial" w:hAnsi="Arial" w:cs="Arial"/>
                <w:sz w:val="22"/>
                <w:szCs w:val="22"/>
              </w:rPr>
              <w:t xml:space="preserve">Eastleigh Borough Council has developed an interim strategy using existing and future land acquisitions to provide further sites to mitigate the recreation impact on the New Forest from the increased number of visits from the occupiers of new residential development within Eastleigh borough to March 2027. It applies to development within the 13.8km catchment area, measured as a straight-line distance from the boundary of the New Forest protected sites.  </w:t>
            </w:r>
          </w:p>
          <w:p w14:paraId="2A981F73" w14:textId="77777777" w:rsidR="00471F39" w:rsidRPr="0005655C" w:rsidRDefault="00471F39" w:rsidP="00471F39">
            <w:pPr>
              <w:spacing w:line="276" w:lineRule="auto"/>
              <w:rPr>
                <w:rFonts w:ascii="Arial" w:hAnsi="Arial" w:cs="Arial"/>
                <w:color w:val="FF0000"/>
                <w:sz w:val="22"/>
                <w:szCs w:val="22"/>
              </w:rPr>
            </w:pPr>
          </w:p>
          <w:p w14:paraId="28FB4822" w14:textId="77777777" w:rsidR="00471F39" w:rsidRPr="0005655C" w:rsidRDefault="00471F39" w:rsidP="00471F39">
            <w:pPr>
              <w:spacing w:line="276" w:lineRule="auto"/>
              <w:rPr>
                <w:rFonts w:ascii="Arial" w:hAnsi="Arial" w:cs="Arial"/>
                <w:sz w:val="22"/>
                <w:szCs w:val="22"/>
              </w:rPr>
            </w:pPr>
            <w:r w:rsidRPr="0005655C">
              <w:rPr>
                <w:rFonts w:ascii="Arial" w:hAnsi="Arial" w:cs="Arial"/>
                <w:sz w:val="22"/>
                <w:szCs w:val="22"/>
              </w:rPr>
              <w:t>Eastleigh housing growth will account for just over 20% of all planned new residential development between 5-14km from the New Forest protected sites. The interim strategy is therefore calculated based on a 20% contribution towards the total SANG required (equating to 1.6ha per 1,000 population). This results in a requirement of 27.1ha of SANG within Eastleigh borough. The SANG provision will include both new greenspace sites and improvements to increase the attractiveness and capacity of existing greenspaces throughout the year which can therefore function as SANG.</w:t>
            </w:r>
          </w:p>
          <w:p w14:paraId="4B0B1386" w14:textId="77777777" w:rsidR="00471F39" w:rsidRPr="0005655C" w:rsidRDefault="00471F39" w:rsidP="00471F39">
            <w:pPr>
              <w:spacing w:line="276" w:lineRule="auto"/>
              <w:rPr>
                <w:rFonts w:ascii="Arial" w:hAnsi="Arial" w:cs="Arial"/>
                <w:color w:val="FF0000"/>
                <w:sz w:val="22"/>
                <w:szCs w:val="22"/>
              </w:rPr>
            </w:pPr>
          </w:p>
          <w:p w14:paraId="40423821" w14:textId="77777777" w:rsidR="0053477E" w:rsidRPr="0005655C" w:rsidRDefault="00471F39" w:rsidP="00471F39">
            <w:pPr>
              <w:spacing w:line="276" w:lineRule="auto"/>
              <w:rPr>
                <w:rFonts w:ascii="Arial" w:hAnsi="Arial" w:cs="Arial"/>
                <w:sz w:val="22"/>
                <w:szCs w:val="22"/>
              </w:rPr>
            </w:pPr>
            <w:r w:rsidRPr="0005655C">
              <w:rPr>
                <w:rFonts w:ascii="Arial" w:hAnsi="Arial" w:cs="Arial"/>
                <w:sz w:val="22"/>
                <w:szCs w:val="22"/>
              </w:rPr>
              <w:t xml:space="preserve">The SANG contribution will deliver a list of projects in the borough focused on improvements to Itchen Valley Country Park (IVCP). This is an existing open space at the centre of the borough with public access with the scope to significantly increase its capacity. This is through the extension into adjacent land and by improvements to the existing open space to make it more attractive for visitors who would otherwise visit the New Forest. </w:t>
            </w:r>
          </w:p>
          <w:p w14:paraId="331B7933" w14:textId="77777777" w:rsidR="0053477E" w:rsidRPr="0005655C" w:rsidRDefault="0053477E" w:rsidP="00471F39">
            <w:pPr>
              <w:spacing w:line="276" w:lineRule="auto"/>
              <w:rPr>
                <w:rFonts w:ascii="Arial" w:hAnsi="Arial" w:cs="Arial"/>
                <w:sz w:val="22"/>
                <w:szCs w:val="22"/>
              </w:rPr>
            </w:pPr>
          </w:p>
          <w:p w14:paraId="02F8C6FD" w14:textId="3C8E2E8E" w:rsidR="00471F39" w:rsidRPr="0005655C" w:rsidRDefault="00322868" w:rsidP="00471F39">
            <w:pPr>
              <w:spacing w:line="276" w:lineRule="auto"/>
              <w:rPr>
                <w:rFonts w:ascii="Arial" w:hAnsi="Arial" w:cs="Arial"/>
                <w:sz w:val="22"/>
                <w:szCs w:val="22"/>
              </w:rPr>
            </w:pPr>
            <w:r w:rsidRPr="0005655C">
              <w:rPr>
                <w:rFonts w:ascii="Arial" w:hAnsi="Arial" w:cs="Arial"/>
                <w:sz w:val="22"/>
                <w:szCs w:val="22"/>
              </w:rPr>
              <w:t>Another project is the creation on a new SANG at Stoke Park Farm</w:t>
            </w:r>
            <w:r w:rsidR="00B41FD5" w:rsidRPr="0005655C">
              <w:rPr>
                <w:rFonts w:ascii="Arial" w:hAnsi="Arial" w:cs="Arial"/>
                <w:sz w:val="22"/>
                <w:szCs w:val="22"/>
              </w:rPr>
              <w:t xml:space="preserve"> in Bishopstoke</w:t>
            </w:r>
            <w:r w:rsidRPr="0005655C">
              <w:rPr>
                <w:rFonts w:ascii="Arial" w:hAnsi="Arial" w:cs="Arial"/>
                <w:sz w:val="22"/>
                <w:szCs w:val="22"/>
              </w:rPr>
              <w:t xml:space="preserve">, </w:t>
            </w:r>
            <w:r w:rsidR="0053477E" w:rsidRPr="0005655C">
              <w:rPr>
                <w:rFonts w:ascii="Arial" w:hAnsi="Arial" w:cs="Arial"/>
                <w:sz w:val="22"/>
                <w:szCs w:val="22"/>
              </w:rPr>
              <w:t xml:space="preserve">which covers 17 acres of woodland, former pasture fields, </w:t>
            </w:r>
            <w:r w:rsidR="009C029A" w:rsidRPr="0005655C">
              <w:rPr>
                <w:rFonts w:ascii="Arial" w:hAnsi="Arial" w:cs="Arial"/>
                <w:sz w:val="22"/>
                <w:szCs w:val="22"/>
              </w:rPr>
              <w:t xml:space="preserve">varied trees and hedge lines. </w:t>
            </w:r>
            <w:r w:rsidR="00975E8A" w:rsidRPr="0005655C">
              <w:rPr>
                <w:rFonts w:ascii="Arial" w:hAnsi="Arial" w:cs="Arial"/>
                <w:sz w:val="22"/>
                <w:szCs w:val="22"/>
              </w:rPr>
              <w:t>There is a resolution to grant planning permission for</w:t>
            </w:r>
            <w:r w:rsidR="004C72E0" w:rsidRPr="0005655C">
              <w:rPr>
                <w:rFonts w:ascii="Arial" w:hAnsi="Arial" w:cs="Arial"/>
                <w:sz w:val="22"/>
                <w:szCs w:val="22"/>
              </w:rPr>
              <w:t xml:space="preserve"> new walking</w:t>
            </w:r>
            <w:r w:rsidR="00FD62E5" w:rsidRPr="0005655C">
              <w:rPr>
                <w:rFonts w:ascii="Arial" w:hAnsi="Arial" w:cs="Arial"/>
                <w:sz w:val="22"/>
                <w:szCs w:val="22"/>
              </w:rPr>
              <w:t>/</w:t>
            </w:r>
            <w:r w:rsidR="004C72E0" w:rsidRPr="0005655C">
              <w:rPr>
                <w:rFonts w:ascii="Arial" w:hAnsi="Arial" w:cs="Arial"/>
                <w:sz w:val="22"/>
                <w:szCs w:val="22"/>
              </w:rPr>
              <w:t xml:space="preserve"> access routes</w:t>
            </w:r>
            <w:r w:rsidR="00B022D7" w:rsidRPr="0005655C">
              <w:rPr>
                <w:rFonts w:ascii="Arial" w:hAnsi="Arial" w:cs="Arial"/>
                <w:sz w:val="22"/>
                <w:szCs w:val="22"/>
              </w:rPr>
              <w:t xml:space="preserve"> and</w:t>
            </w:r>
            <w:r w:rsidR="004C72E0" w:rsidRPr="0005655C">
              <w:rPr>
                <w:rFonts w:ascii="Arial" w:hAnsi="Arial" w:cs="Arial"/>
                <w:sz w:val="22"/>
                <w:szCs w:val="22"/>
              </w:rPr>
              <w:t xml:space="preserve"> </w:t>
            </w:r>
            <w:r w:rsidR="00B022D7" w:rsidRPr="0005655C">
              <w:rPr>
                <w:rFonts w:ascii="Arial" w:hAnsi="Arial" w:cs="Arial"/>
                <w:sz w:val="22"/>
                <w:szCs w:val="22"/>
              </w:rPr>
              <w:t xml:space="preserve">seating </w:t>
            </w:r>
            <w:r w:rsidR="00FD62E5" w:rsidRPr="0005655C">
              <w:rPr>
                <w:rFonts w:ascii="Arial" w:hAnsi="Arial" w:cs="Arial"/>
                <w:sz w:val="22"/>
                <w:szCs w:val="22"/>
              </w:rPr>
              <w:t>at</w:t>
            </w:r>
            <w:r w:rsidR="00B022D7" w:rsidRPr="0005655C">
              <w:rPr>
                <w:rFonts w:ascii="Arial" w:hAnsi="Arial" w:cs="Arial"/>
                <w:sz w:val="22"/>
                <w:szCs w:val="22"/>
              </w:rPr>
              <w:t xml:space="preserve"> the site</w:t>
            </w:r>
            <w:r w:rsidR="00FD62E5" w:rsidRPr="0005655C">
              <w:rPr>
                <w:rFonts w:ascii="Arial" w:hAnsi="Arial" w:cs="Arial"/>
                <w:sz w:val="22"/>
                <w:szCs w:val="22"/>
              </w:rPr>
              <w:t xml:space="preserve">, subject to receiving a contribution </w:t>
            </w:r>
            <w:r w:rsidR="00DF3E32" w:rsidRPr="0005655C">
              <w:rPr>
                <w:rFonts w:ascii="Arial" w:hAnsi="Arial" w:cs="Arial"/>
                <w:sz w:val="22"/>
                <w:szCs w:val="22"/>
              </w:rPr>
              <w:t xml:space="preserve">to the maintenance of footpaths </w:t>
            </w:r>
            <w:r w:rsidR="00C53ED5" w:rsidRPr="0005655C">
              <w:rPr>
                <w:rFonts w:ascii="Arial" w:hAnsi="Arial" w:cs="Arial"/>
                <w:sz w:val="22"/>
                <w:szCs w:val="22"/>
              </w:rPr>
              <w:t>for</w:t>
            </w:r>
            <w:r w:rsidR="003B6247" w:rsidRPr="0005655C">
              <w:rPr>
                <w:rFonts w:ascii="Arial" w:hAnsi="Arial" w:cs="Arial"/>
                <w:sz w:val="22"/>
                <w:szCs w:val="22"/>
              </w:rPr>
              <w:t xml:space="preserve"> the existing</w:t>
            </w:r>
            <w:r w:rsidR="00DF3E32" w:rsidRPr="0005655C">
              <w:rPr>
                <w:rFonts w:ascii="Arial" w:hAnsi="Arial" w:cs="Arial"/>
                <w:sz w:val="22"/>
                <w:szCs w:val="22"/>
              </w:rPr>
              <w:t xml:space="preserve"> Stoke Park Woods</w:t>
            </w:r>
            <w:r w:rsidR="00B022D7" w:rsidRPr="0005655C">
              <w:rPr>
                <w:rFonts w:ascii="Arial" w:hAnsi="Arial" w:cs="Arial"/>
                <w:sz w:val="22"/>
                <w:szCs w:val="22"/>
              </w:rPr>
              <w:t xml:space="preserve"> </w:t>
            </w:r>
            <w:r w:rsidR="003B6247" w:rsidRPr="0005655C">
              <w:rPr>
                <w:rFonts w:ascii="Arial" w:hAnsi="Arial" w:cs="Arial"/>
                <w:sz w:val="22"/>
                <w:szCs w:val="22"/>
              </w:rPr>
              <w:t xml:space="preserve">site </w:t>
            </w:r>
            <w:r w:rsidR="00B022D7" w:rsidRPr="0005655C">
              <w:rPr>
                <w:rFonts w:ascii="Arial" w:hAnsi="Arial" w:cs="Arial"/>
                <w:sz w:val="22"/>
                <w:szCs w:val="22"/>
              </w:rPr>
              <w:t>(planning application F/23/95844).</w:t>
            </w:r>
            <w:r w:rsidR="00DF3E32" w:rsidRPr="0005655C">
              <w:rPr>
                <w:rFonts w:ascii="Arial" w:hAnsi="Arial" w:cs="Arial"/>
                <w:sz w:val="22"/>
                <w:szCs w:val="22"/>
              </w:rPr>
              <w:t xml:space="preserve"> </w:t>
            </w:r>
          </w:p>
          <w:p w14:paraId="1CF67A14" w14:textId="77777777" w:rsidR="00471F39" w:rsidRPr="0005655C" w:rsidRDefault="00471F39" w:rsidP="00471F39">
            <w:pPr>
              <w:spacing w:line="276" w:lineRule="auto"/>
              <w:rPr>
                <w:rFonts w:ascii="Arial" w:hAnsi="Arial" w:cs="Arial"/>
                <w:color w:val="FF0000"/>
                <w:sz w:val="22"/>
                <w:szCs w:val="22"/>
              </w:rPr>
            </w:pPr>
          </w:p>
          <w:p w14:paraId="2B567B37" w14:textId="71091BBB" w:rsidR="00290500" w:rsidRPr="0005655C" w:rsidRDefault="00471F39" w:rsidP="000E56B8">
            <w:pPr>
              <w:spacing w:line="276" w:lineRule="auto"/>
              <w:rPr>
                <w:rFonts w:ascii="Arial" w:hAnsi="Arial" w:cs="Arial"/>
                <w:sz w:val="22"/>
                <w:szCs w:val="22"/>
              </w:rPr>
            </w:pPr>
            <w:r w:rsidRPr="0005655C">
              <w:rPr>
                <w:rFonts w:ascii="Arial" w:hAnsi="Arial" w:cs="Arial"/>
                <w:sz w:val="22"/>
                <w:szCs w:val="22"/>
              </w:rPr>
              <w:t xml:space="preserve">The Council is satisfied as competent authority that further mitigation will be in place prior to the occupation </w:t>
            </w:r>
            <w:r w:rsidR="00A21DF1" w:rsidRPr="0005655C">
              <w:rPr>
                <w:rFonts w:ascii="Arial" w:hAnsi="Arial" w:cs="Arial"/>
                <w:sz w:val="22"/>
                <w:szCs w:val="22"/>
              </w:rPr>
              <w:t xml:space="preserve">of the proposed </w:t>
            </w:r>
            <w:proofErr w:type="gramStart"/>
            <w:r w:rsidR="00A21DF1" w:rsidRPr="0005655C">
              <w:rPr>
                <w:rFonts w:ascii="Arial" w:hAnsi="Arial" w:cs="Arial"/>
                <w:sz w:val="22"/>
                <w:szCs w:val="22"/>
              </w:rPr>
              <w:t xml:space="preserve">development, </w:t>
            </w:r>
            <w:r w:rsidRPr="0005655C">
              <w:rPr>
                <w:rFonts w:ascii="Arial" w:hAnsi="Arial" w:cs="Arial"/>
                <w:sz w:val="22"/>
                <w:szCs w:val="22"/>
              </w:rPr>
              <w:t>and</w:t>
            </w:r>
            <w:proofErr w:type="gramEnd"/>
            <w:r w:rsidRPr="0005655C">
              <w:rPr>
                <w:rFonts w:ascii="Arial" w:hAnsi="Arial" w:cs="Arial"/>
                <w:sz w:val="22"/>
                <w:szCs w:val="22"/>
              </w:rPr>
              <w:t xml:space="preserve"> is keeping a record of developments reliant on this strategy and their occupation dates. The mitigation, approved at the Cabinet on the </w:t>
            </w:r>
            <w:proofErr w:type="gramStart"/>
            <w:r w:rsidRPr="0005655C">
              <w:rPr>
                <w:rFonts w:ascii="Arial" w:hAnsi="Arial" w:cs="Arial"/>
                <w:sz w:val="22"/>
                <w:szCs w:val="22"/>
              </w:rPr>
              <w:t>8</w:t>
            </w:r>
            <w:r w:rsidRPr="0005655C">
              <w:rPr>
                <w:rFonts w:ascii="Arial" w:hAnsi="Arial" w:cs="Arial"/>
                <w:sz w:val="22"/>
                <w:szCs w:val="22"/>
                <w:vertAlign w:val="superscript"/>
              </w:rPr>
              <w:t>th</w:t>
            </w:r>
            <w:proofErr w:type="gramEnd"/>
            <w:r w:rsidRPr="0005655C">
              <w:rPr>
                <w:rFonts w:ascii="Arial" w:hAnsi="Arial" w:cs="Arial"/>
                <w:sz w:val="22"/>
                <w:szCs w:val="22"/>
              </w:rPr>
              <w:t xml:space="preserve"> December 2022, sets out a payment per dwelling at £2,220, split 4 ways between a New Forest Ranger (£41.07), New Forest SANG (£1968.24), New Forest SANG monitoring (£9.13) and Commercial Risk (£201.84).  </w:t>
            </w:r>
            <w:r w:rsidR="00815E2A" w:rsidRPr="0005655C">
              <w:rPr>
                <w:rFonts w:ascii="Arial" w:hAnsi="Arial" w:cs="Arial"/>
                <w:sz w:val="22"/>
                <w:szCs w:val="22"/>
              </w:rPr>
              <w:t>This would be secured through a</w:t>
            </w:r>
            <w:r w:rsidR="00E32E42" w:rsidRPr="0005655C">
              <w:rPr>
                <w:rFonts w:ascii="Arial" w:hAnsi="Arial" w:cs="Arial"/>
                <w:sz w:val="22"/>
                <w:szCs w:val="22"/>
              </w:rPr>
              <w:t xml:space="preserve">n upfront payment prior to determining the planning application. </w:t>
            </w:r>
          </w:p>
          <w:p w14:paraId="2608B0C0" w14:textId="77777777" w:rsidR="00262EBF" w:rsidRPr="0005655C" w:rsidRDefault="00262EBF" w:rsidP="000E56B8">
            <w:pPr>
              <w:spacing w:line="276" w:lineRule="auto"/>
              <w:rPr>
                <w:rFonts w:ascii="Arial" w:hAnsi="Arial" w:cs="Arial"/>
                <w:sz w:val="22"/>
                <w:szCs w:val="22"/>
              </w:rPr>
            </w:pPr>
          </w:p>
          <w:p w14:paraId="2C15D93B" w14:textId="77777777" w:rsidR="00262EBF" w:rsidRPr="0005655C" w:rsidRDefault="00262EBF" w:rsidP="00262EBF">
            <w:pPr>
              <w:spacing w:line="276" w:lineRule="auto"/>
              <w:jc w:val="both"/>
              <w:rPr>
                <w:rFonts w:ascii="Arial" w:hAnsi="Arial" w:cs="Arial"/>
                <w:sz w:val="22"/>
                <w:szCs w:val="22"/>
                <w:u w:val="single"/>
              </w:rPr>
            </w:pPr>
            <w:r w:rsidRPr="0005655C">
              <w:rPr>
                <w:rFonts w:ascii="Arial" w:hAnsi="Arial" w:cs="Arial"/>
                <w:sz w:val="22"/>
                <w:szCs w:val="22"/>
                <w:u w:val="single"/>
              </w:rPr>
              <w:t>Nutrients</w:t>
            </w:r>
          </w:p>
          <w:p w14:paraId="5C14421D" w14:textId="7ADA4A0E" w:rsidR="005F58FE" w:rsidRPr="0005655C" w:rsidRDefault="002B5306" w:rsidP="002B5306">
            <w:pPr>
              <w:shd w:val="clear" w:color="auto" w:fill="FFFFFF"/>
              <w:rPr>
                <w:rStyle w:val="markedcontent"/>
                <w:rFonts w:ascii="Arial" w:hAnsi="Arial" w:cs="Arial"/>
                <w:color w:val="323130"/>
                <w:sz w:val="22"/>
                <w:szCs w:val="22"/>
              </w:rPr>
            </w:pPr>
            <w:r w:rsidRPr="0005655C">
              <w:rPr>
                <w:rStyle w:val="markedcontent"/>
                <w:rFonts w:ascii="Arial" w:hAnsi="Arial" w:cs="Arial"/>
                <w:color w:val="323130"/>
                <w:sz w:val="22"/>
                <w:szCs w:val="22"/>
              </w:rPr>
              <w:t>The project being assessed would result in a net increase of 1no. dwelling which would be</w:t>
            </w:r>
            <w:r w:rsidRPr="0005655C">
              <w:rPr>
                <w:rFonts w:ascii="Arial" w:hAnsi="Arial" w:cs="Arial"/>
                <w:color w:val="323130"/>
                <w:sz w:val="22"/>
                <w:szCs w:val="22"/>
              </w:rPr>
              <w:br/>
            </w:r>
            <w:r w:rsidRPr="0005655C">
              <w:rPr>
                <w:rStyle w:val="markedcontent"/>
                <w:rFonts w:ascii="Arial" w:hAnsi="Arial" w:cs="Arial"/>
                <w:color w:val="323130"/>
                <w:sz w:val="22"/>
                <w:szCs w:val="22"/>
              </w:rPr>
              <w:t xml:space="preserve">served by </w:t>
            </w:r>
            <w:r w:rsidR="00F627A6" w:rsidRPr="0005655C">
              <w:rPr>
                <w:rStyle w:val="markedcontent"/>
                <w:rFonts w:ascii="Arial" w:hAnsi="Arial" w:cs="Arial"/>
                <w:color w:val="323130"/>
                <w:sz w:val="22"/>
                <w:szCs w:val="22"/>
              </w:rPr>
              <w:t xml:space="preserve">Chicken Hall Lane </w:t>
            </w:r>
            <w:proofErr w:type="gramStart"/>
            <w:r w:rsidR="00F627A6" w:rsidRPr="0005655C">
              <w:rPr>
                <w:rStyle w:val="markedcontent"/>
                <w:rFonts w:ascii="Arial" w:hAnsi="Arial" w:cs="Arial"/>
                <w:color w:val="323130"/>
                <w:sz w:val="22"/>
                <w:szCs w:val="22"/>
              </w:rPr>
              <w:t>Waste</w:t>
            </w:r>
            <w:r w:rsidRPr="0005655C">
              <w:rPr>
                <w:rStyle w:val="markedcontent"/>
                <w:rFonts w:ascii="Arial" w:hAnsi="Arial" w:cs="Arial"/>
                <w:color w:val="323130"/>
                <w:sz w:val="22"/>
                <w:szCs w:val="22"/>
              </w:rPr>
              <w:t xml:space="preserve"> Water</w:t>
            </w:r>
            <w:proofErr w:type="gramEnd"/>
            <w:r w:rsidRPr="0005655C">
              <w:rPr>
                <w:rStyle w:val="markedcontent"/>
                <w:rFonts w:ascii="Arial" w:hAnsi="Arial" w:cs="Arial"/>
                <w:color w:val="323130"/>
                <w:sz w:val="22"/>
                <w:szCs w:val="22"/>
              </w:rPr>
              <w:t xml:space="preserve"> Treatment Works, which ultimately feed into the</w:t>
            </w:r>
            <w:r w:rsidR="00F627A6" w:rsidRPr="0005655C">
              <w:rPr>
                <w:rStyle w:val="markedcontent"/>
                <w:rFonts w:ascii="Arial" w:hAnsi="Arial" w:cs="Arial"/>
                <w:color w:val="323130"/>
                <w:sz w:val="22"/>
                <w:szCs w:val="22"/>
              </w:rPr>
              <w:t xml:space="preserve"> Itchen</w:t>
            </w:r>
            <w:r w:rsidRPr="0005655C">
              <w:rPr>
                <w:rStyle w:val="markedcontent"/>
                <w:rFonts w:ascii="Arial" w:hAnsi="Arial" w:cs="Arial"/>
                <w:color w:val="323130"/>
                <w:sz w:val="22"/>
                <w:szCs w:val="22"/>
              </w:rPr>
              <w:t>.</w:t>
            </w:r>
            <w:r w:rsidR="00F627A6" w:rsidRPr="0005655C">
              <w:rPr>
                <w:rStyle w:val="markedcontent"/>
                <w:rFonts w:ascii="Arial" w:hAnsi="Arial" w:cs="Arial"/>
                <w:color w:val="323130"/>
                <w:sz w:val="22"/>
                <w:szCs w:val="22"/>
              </w:rPr>
              <w:t xml:space="preserve"> </w:t>
            </w:r>
            <w:r w:rsidRPr="0005655C">
              <w:rPr>
                <w:rStyle w:val="markedcontent"/>
                <w:rFonts w:ascii="Arial" w:hAnsi="Arial" w:cs="Arial"/>
                <w:color w:val="323130"/>
                <w:sz w:val="22"/>
                <w:szCs w:val="22"/>
              </w:rPr>
              <w:t>A nutrient budget for the scheme has been produced in line with Natural England’s published</w:t>
            </w:r>
            <w:r w:rsidR="00F627A6" w:rsidRPr="0005655C">
              <w:rPr>
                <w:rStyle w:val="markedcontent"/>
                <w:rFonts w:ascii="Arial" w:hAnsi="Arial" w:cs="Arial"/>
                <w:color w:val="323130"/>
                <w:sz w:val="22"/>
                <w:szCs w:val="22"/>
              </w:rPr>
              <w:t xml:space="preserve"> </w:t>
            </w:r>
            <w:r w:rsidRPr="0005655C">
              <w:rPr>
                <w:rStyle w:val="markedcontent"/>
                <w:rFonts w:ascii="Arial" w:hAnsi="Arial" w:cs="Arial"/>
                <w:color w:val="323130"/>
                <w:sz w:val="22"/>
                <w:szCs w:val="22"/>
              </w:rPr>
              <w:t>guidance with this demonstrating a net change in nitrogen load from the development of an</w:t>
            </w:r>
            <w:r w:rsidR="00F627A6" w:rsidRPr="0005655C">
              <w:rPr>
                <w:rStyle w:val="markedcontent"/>
                <w:rFonts w:ascii="Arial" w:hAnsi="Arial" w:cs="Arial"/>
                <w:color w:val="323130"/>
                <w:sz w:val="22"/>
                <w:szCs w:val="22"/>
              </w:rPr>
              <w:t xml:space="preserve"> </w:t>
            </w:r>
            <w:r w:rsidRPr="0005655C">
              <w:rPr>
                <w:rStyle w:val="markedcontent"/>
                <w:rFonts w:ascii="Arial" w:hAnsi="Arial" w:cs="Arial"/>
                <w:color w:val="323130"/>
                <w:sz w:val="22"/>
                <w:szCs w:val="22"/>
              </w:rPr>
              <w:t xml:space="preserve">additional </w:t>
            </w:r>
            <w:r w:rsidR="002D5439">
              <w:rPr>
                <w:rStyle w:val="markedcontent"/>
                <w:rFonts w:ascii="Arial" w:hAnsi="Arial" w:cs="Arial"/>
                <w:color w:val="323130"/>
                <w:sz w:val="22"/>
                <w:szCs w:val="22"/>
              </w:rPr>
              <w:t>3.16</w:t>
            </w:r>
            <w:r w:rsidRPr="0005655C">
              <w:rPr>
                <w:rStyle w:val="markedcontent"/>
                <w:rFonts w:ascii="Arial" w:hAnsi="Arial" w:cs="Arial"/>
                <w:color w:val="323130"/>
                <w:sz w:val="22"/>
                <w:szCs w:val="22"/>
              </w:rPr>
              <w:t>/TN/year</w:t>
            </w:r>
            <w:r w:rsidR="00B2716A" w:rsidRPr="0005655C">
              <w:rPr>
                <w:rStyle w:val="markedcontent"/>
                <w:rFonts w:ascii="Arial" w:hAnsi="Arial" w:cs="Arial"/>
                <w:color w:val="323130"/>
                <w:sz w:val="22"/>
                <w:szCs w:val="22"/>
              </w:rPr>
              <w:t xml:space="preserve"> &amp; phosphate</w:t>
            </w:r>
            <w:r w:rsidR="00DD400D" w:rsidRPr="0005655C">
              <w:rPr>
                <w:rStyle w:val="markedcontent"/>
                <w:rFonts w:ascii="Arial" w:hAnsi="Arial" w:cs="Arial"/>
                <w:color w:val="323130"/>
                <w:sz w:val="22"/>
                <w:szCs w:val="22"/>
              </w:rPr>
              <w:t xml:space="preserve"> load of </w:t>
            </w:r>
            <w:r w:rsidR="00A40E56">
              <w:rPr>
                <w:rStyle w:val="markedcontent"/>
                <w:rFonts w:ascii="Arial" w:hAnsi="Arial" w:cs="Arial"/>
                <w:color w:val="323130"/>
                <w:sz w:val="22"/>
                <w:szCs w:val="22"/>
              </w:rPr>
              <w:t>0.07</w:t>
            </w:r>
            <w:r w:rsidR="00DD400D" w:rsidRPr="0005655C">
              <w:rPr>
                <w:rStyle w:val="markedcontent"/>
                <w:rFonts w:ascii="Arial" w:hAnsi="Arial" w:cs="Arial"/>
                <w:color w:val="323130"/>
                <w:sz w:val="22"/>
                <w:szCs w:val="22"/>
              </w:rPr>
              <w:t xml:space="preserve">/TN/year, this drops to </w:t>
            </w:r>
            <w:r w:rsidR="00A40E56">
              <w:rPr>
                <w:rStyle w:val="markedcontent"/>
                <w:rFonts w:ascii="Arial" w:hAnsi="Arial" w:cs="Arial"/>
                <w:color w:val="323130"/>
                <w:sz w:val="22"/>
                <w:szCs w:val="22"/>
              </w:rPr>
              <w:t>0.91</w:t>
            </w:r>
            <w:r w:rsidR="00DD400D" w:rsidRPr="0005655C">
              <w:rPr>
                <w:rStyle w:val="markedcontent"/>
                <w:rFonts w:ascii="Arial" w:hAnsi="Arial" w:cs="Arial"/>
                <w:color w:val="323130"/>
                <w:sz w:val="22"/>
                <w:szCs w:val="22"/>
              </w:rPr>
              <w:t>/TN/year &amp; phosphate load of 0.</w:t>
            </w:r>
            <w:r w:rsidR="00A40E56">
              <w:rPr>
                <w:rStyle w:val="markedcontent"/>
                <w:rFonts w:ascii="Arial" w:hAnsi="Arial" w:cs="Arial"/>
                <w:color w:val="323130"/>
                <w:sz w:val="22"/>
                <w:szCs w:val="22"/>
              </w:rPr>
              <w:t>02</w:t>
            </w:r>
            <w:r w:rsidR="00DD400D" w:rsidRPr="0005655C">
              <w:rPr>
                <w:rStyle w:val="markedcontent"/>
                <w:rFonts w:ascii="Arial" w:hAnsi="Arial" w:cs="Arial"/>
                <w:color w:val="323130"/>
                <w:sz w:val="22"/>
                <w:szCs w:val="22"/>
              </w:rPr>
              <w:t>/TN/year</w:t>
            </w:r>
            <w:r w:rsidR="004C6263" w:rsidRPr="0005655C">
              <w:rPr>
                <w:rStyle w:val="markedcontent"/>
                <w:rFonts w:ascii="Arial" w:hAnsi="Arial" w:cs="Arial"/>
                <w:color w:val="323130"/>
                <w:sz w:val="22"/>
                <w:szCs w:val="22"/>
              </w:rPr>
              <w:t xml:space="preserve"> p</w:t>
            </w:r>
            <w:r w:rsidR="00A5496C">
              <w:rPr>
                <w:rStyle w:val="markedcontent"/>
                <w:rFonts w:ascii="Arial" w:hAnsi="Arial" w:cs="Arial"/>
                <w:color w:val="323130"/>
                <w:sz w:val="22"/>
                <w:szCs w:val="22"/>
              </w:rPr>
              <w:t xml:space="preserve">ost </w:t>
            </w:r>
            <w:r w:rsidR="004C6263" w:rsidRPr="0005655C">
              <w:rPr>
                <w:rStyle w:val="markedcontent"/>
                <w:rFonts w:ascii="Arial" w:hAnsi="Arial" w:cs="Arial"/>
                <w:color w:val="323130"/>
                <w:sz w:val="22"/>
                <w:szCs w:val="22"/>
              </w:rPr>
              <w:t>2030.</w:t>
            </w:r>
          </w:p>
          <w:p w14:paraId="25E0E71B" w14:textId="77777777" w:rsidR="00262EBF" w:rsidRPr="0005655C" w:rsidRDefault="00262EBF" w:rsidP="00262EBF">
            <w:pPr>
              <w:spacing w:line="276" w:lineRule="auto"/>
              <w:jc w:val="both"/>
              <w:rPr>
                <w:rFonts w:ascii="Arial" w:hAnsi="Arial" w:cs="Arial"/>
                <w:sz w:val="22"/>
                <w:szCs w:val="22"/>
              </w:rPr>
            </w:pPr>
          </w:p>
          <w:p w14:paraId="400EC436" w14:textId="67BB4F0A" w:rsidR="00262EBF" w:rsidRPr="0005655C" w:rsidRDefault="00262EBF" w:rsidP="00262EBF">
            <w:pPr>
              <w:spacing w:line="276" w:lineRule="auto"/>
              <w:jc w:val="both"/>
              <w:rPr>
                <w:rFonts w:ascii="Arial" w:hAnsi="Arial" w:cs="Arial"/>
                <w:sz w:val="22"/>
                <w:szCs w:val="22"/>
              </w:rPr>
            </w:pPr>
            <w:r w:rsidRPr="0005655C">
              <w:rPr>
                <w:rFonts w:ascii="Arial" w:hAnsi="Arial" w:cs="Arial"/>
                <w:sz w:val="22"/>
                <w:szCs w:val="22"/>
              </w:rPr>
              <w:t xml:space="preserve">It has been agreed between the applicants and the Local Planning Authority that the </w:t>
            </w:r>
            <w:r w:rsidR="00EC6EBF">
              <w:rPr>
                <w:rFonts w:ascii="Arial" w:hAnsi="Arial" w:cs="Arial"/>
                <w:sz w:val="22"/>
                <w:szCs w:val="22"/>
              </w:rPr>
              <w:t>A</w:t>
            </w:r>
            <w:r w:rsidRPr="0005655C">
              <w:rPr>
                <w:rFonts w:ascii="Arial" w:hAnsi="Arial" w:cs="Arial"/>
                <w:sz w:val="22"/>
                <w:szCs w:val="22"/>
              </w:rPr>
              <w:t xml:space="preserve">pplicant can mitigate the increase in </w:t>
            </w:r>
            <w:r w:rsidR="005014DE" w:rsidRPr="0005655C">
              <w:rPr>
                <w:rFonts w:ascii="Arial" w:hAnsi="Arial" w:cs="Arial"/>
                <w:sz w:val="22"/>
                <w:szCs w:val="22"/>
              </w:rPr>
              <w:t xml:space="preserve">nutrients </w:t>
            </w:r>
            <w:r w:rsidRPr="0005655C">
              <w:rPr>
                <w:rFonts w:ascii="Arial" w:hAnsi="Arial" w:cs="Arial"/>
                <w:sz w:val="22"/>
                <w:szCs w:val="22"/>
              </w:rPr>
              <w:t>through the purchase of nitrate credits in accordance with the Council’s Nutrient Neutrality Offset Scheme.  This scheme involves taking land within the Borough, which is within the control and ownership of the Council, out of agricultural use (high intensity) and placing it into a lower intensity use (open space).  Further detail can be found via the following link:</w:t>
            </w:r>
          </w:p>
          <w:p w14:paraId="7DD9E9AE" w14:textId="2DB848A2" w:rsidR="004B028A" w:rsidRPr="0005655C" w:rsidRDefault="00DD1D69" w:rsidP="00262EBF">
            <w:pPr>
              <w:spacing w:line="276" w:lineRule="auto"/>
              <w:jc w:val="both"/>
              <w:rPr>
                <w:rFonts w:ascii="Arial" w:hAnsi="Arial" w:cs="Arial"/>
                <w:sz w:val="22"/>
                <w:szCs w:val="22"/>
              </w:rPr>
            </w:pPr>
            <w:hyperlink r:id="rId8" w:anchor=":~:text=In%20response%20to%20the%20impact,the%20purchase%20of%20nitrate%20credits." w:history="1">
              <w:r w:rsidRPr="0005655C">
                <w:rPr>
                  <w:rStyle w:val="Hyperlink"/>
                  <w:rFonts w:ascii="Arial" w:hAnsi="Arial" w:cs="Arial"/>
                  <w:sz w:val="22"/>
                  <w:szCs w:val="22"/>
                </w:rPr>
                <w:t>Nutrient Offset Scheme (eastleigh.gov.uk)</w:t>
              </w:r>
            </w:hyperlink>
          </w:p>
          <w:p w14:paraId="010C096E" w14:textId="77777777" w:rsidR="00DD1D69" w:rsidRPr="0005655C" w:rsidRDefault="00DD1D69" w:rsidP="00262EBF">
            <w:pPr>
              <w:spacing w:line="276" w:lineRule="auto"/>
              <w:jc w:val="both"/>
              <w:rPr>
                <w:rFonts w:ascii="Arial" w:hAnsi="Arial" w:cs="Arial"/>
                <w:sz w:val="22"/>
                <w:szCs w:val="22"/>
              </w:rPr>
            </w:pPr>
          </w:p>
          <w:p w14:paraId="4D37CC83" w14:textId="02872A46" w:rsidR="004B028A" w:rsidRPr="0005655C" w:rsidRDefault="00F0098D" w:rsidP="00262EBF">
            <w:pPr>
              <w:spacing w:line="276" w:lineRule="auto"/>
              <w:jc w:val="both"/>
              <w:rPr>
                <w:rFonts w:ascii="Arial" w:hAnsi="Arial" w:cs="Arial"/>
                <w:sz w:val="22"/>
                <w:szCs w:val="22"/>
              </w:rPr>
            </w:pPr>
            <w:r w:rsidRPr="0005655C">
              <w:rPr>
                <w:rFonts w:ascii="Arial" w:hAnsi="Arial" w:cs="Arial"/>
                <w:sz w:val="22"/>
                <w:szCs w:val="22"/>
              </w:rPr>
              <w:t xml:space="preserve">A </w:t>
            </w:r>
            <w:r w:rsidR="004317C8" w:rsidRPr="0005655C">
              <w:rPr>
                <w:rFonts w:ascii="Arial" w:hAnsi="Arial" w:cs="Arial"/>
                <w:sz w:val="22"/>
                <w:szCs w:val="22"/>
              </w:rPr>
              <w:t xml:space="preserve">pre-occupation planning condition would be imposed to ensure that the </w:t>
            </w:r>
            <w:r w:rsidR="008E6FF3" w:rsidRPr="0005655C">
              <w:rPr>
                <w:rFonts w:ascii="Arial" w:hAnsi="Arial" w:cs="Arial"/>
                <w:sz w:val="22"/>
                <w:szCs w:val="22"/>
              </w:rPr>
              <w:t>A</w:t>
            </w:r>
            <w:r w:rsidR="004317C8" w:rsidRPr="0005655C">
              <w:rPr>
                <w:rFonts w:ascii="Arial" w:hAnsi="Arial" w:cs="Arial"/>
                <w:sz w:val="22"/>
                <w:szCs w:val="22"/>
              </w:rPr>
              <w:t xml:space="preserve">pplicant purchased </w:t>
            </w:r>
            <w:r w:rsidR="008E6FF3" w:rsidRPr="0005655C">
              <w:rPr>
                <w:rFonts w:ascii="Arial" w:hAnsi="Arial" w:cs="Arial"/>
                <w:sz w:val="22"/>
                <w:szCs w:val="22"/>
              </w:rPr>
              <w:t>the Council’s nutrient credits to mitigat</w:t>
            </w:r>
            <w:r w:rsidR="00F53A2D" w:rsidRPr="0005655C">
              <w:rPr>
                <w:rFonts w:ascii="Arial" w:hAnsi="Arial" w:cs="Arial"/>
                <w:sz w:val="22"/>
                <w:szCs w:val="22"/>
              </w:rPr>
              <w:t>e</w:t>
            </w:r>
            <w:r w:rsidR="008E6FF3" w:rsidRPr="0005655C">
              <w:rPr>
                <w:rFonts w:ascii="Arial" w:hAnsi="Arial" w:cs="Arial"/>
                <w:sz w:val="22"/>
                <w:szCs w:val="22"/>
              </w:rPr>
              <w:t xml:space="preserve"> for </w:t>
            </w:r>
            <w:r w:rsidR="00F55426" w:rsidRPr="0005655C">
              <w:rPr>
                <w:rFonts w:ascii="Arial" w:hAnsi="Arial" w:cs="Arial"/>
                <w:sz w:val="22"/>
                <w:szCs w:val="22"/>
              </w:rPr>
              <w:t xml:space="preserve">the </w:t>
            </w:r>
            <w:r w:rsidR="008E6FF3" w:rsidRPr="0005655C">
              <w:rPr>
                <w:rFonts w:ascii="Arial" w:hAnsi="Arial" w:cs="Arial"/>
                <w:sz w:val="22"/>
                <w:szCs w:val="22"/>
              </w:rPr>
              <w:t xml:space="preserve">additional nutrients caused by the development.  </w:t>
            </w:r>
            <w:r w:rsidR="00293720" w:rsidRPr="0005655C">
              <w:rPr>
                <w:rFonts w:ascii="Arial" w:hAnsi="Arial" w:cs="Arial"/>
                <w:sz w:val="22"/>
                <w:szCs w:val="22"/>
              </w:rPr>
              <w:t xml:space="preserve">Upon purchasing the credits, the applicant would receive a vesting certificate which would identify the nitrate credits which have been assigned to the planning application and a record of this investment </w:t>
            </w:r>
            <w:r w:rsidR="008731B9" w:rsidRPr="0005655C">
              <w:rPr>
                <w:rFonts w:ascii="Arial" w:hAnsi="Arial" w:cs="Arial"/>
                <w:sz w:val="22"/>
                <w:szCs w:val="22"/>
              </w:rPr>
              <w:t>would be</w:t>
            </w:r>
            <w:r w:rsidR="00293720" w:rsidRPr="0005655C">
              <w:rPr>
                <w:rFonts w:ascii="Arial" w:hAnsi="Arial" w:cs="Arial"/>
                <w:sz w:val="22"/>
                <w:szCs w:val="22"/>
              </w:rPr>
              <w:t xml:space="preserve"> retained by the Council.  </w:t>
            </w:r>
          </w:p>
          <w:p w14:paraId="10D763F6" w14:textId="77777777" w:rsidR="00262EBF" w:rsidRPr="0005655C" w:rsidRDefault="00262EBF" w:rsidP="00262EBF">
            <w:pPr>
              <w:spacing w:line="276" w:lineRule="auto"/>
              <w:jc w:val="both"/>
              <w:rPr>
                <w:rFonts w:ascii="Arial" w:hAnsi="Arial" w:cs="Arial"/>
                <w:sz w:val="22"/>
                <w:szCs w:val="22"/>
              </w:rPr>
            </w:pPr>
          </w:p>
          <w:p w14:paraId="32228299" w14:textId="766ECD90" w:rsidR="00262EBF" w:rsidRPr="0005655C" w:rsidRDefault="00262EBF" w:rsidP="00262EBF">
            <w:pPr>
              <w:spacing w:line="276" w:lineRule="auto"/>
              <w:jc w:val="both"/>
              <w:rPr>
                <w:rFonts w:ascii="Arial" w:hAnsi="Arial" w:cs="Arial"/>
                <w:sz w:val="22"/>
                <w:szCs w:val="22"/>
              </w:rPr>
            </w:pPr>
            <w:r w:rsidRPr="0005655C">
              <w:rPr>
                <w:rFonts w:ascii="Arial" w:hAnsi="Arial" w:cs="Arial"/>
                <w:sz w:val="22"/>
                <w:szCs w:val="22"/>
              </w:rPr>
              <w:t xml:space="preserve">The Council, as Competent Authority is satisfied that sufficient land is available to mitigate the impact of increased </w:t>
            </w:r>
            <w:r w:rsidR="00641C69" w:rsidRPr="0005655C">
              <w:rPr>
                <w:rFonts w:ascii="Arial" w:hAnsi="Arial" w:cs="Arial"/>
                <w:sz w:val="22"/>
                <w:szCs w:val="22"/>
              </w:rPr>
              <w:t>nutrients</w:t>
            </w:r>
            <w:r w:rsidRPr="0005655C">
              <w:rPr>
                <w:rFonts w:ascii="Arial" w:hAnsi="Arial" w:cs="Arial"/>
                <w:sz w:val="22"/>
                <w:szCs w:val="22"/>
              </w:rPr>
              <w:t xml:space="preserve"> from the development.  </w:t>
            </w:r>
          </w:p>
          <w:p w14:paraId="69453470" w14:textId="63019CAA" w:rsidR="0070698A" w:rsidRPr="0005655C" w:rsidRDefault="0070698A" w:rsidP="00F55426">
            <w:pPr>
              <w:spacing w:line="276" w:lineRule="auto"/>
              <w:jc w:val="both"/>
              <w:rPr>
                <w:rFonts w:ascii="Arial" w:hAnsi="Arial" w:cs="Arial"/>
                <w:color w:val="FF0000"/>
                <w:sz w:val="22"/>
                <w:szCs w:val="22"/>
              </w:rPr>
            </w:pPr>
          </w:p>
        </w:tc>
      </w:tr>
      <w:tr w:rsidR="00EA0957" w:rsidRPr="0005655C" w14:paraId="401E729C" w14:textId="77777777" w:rsidTr="00376970">
        <w:tc>
          <w:tcPr>
            <w:tcW w:w="9608" w:type="dxa"/>
            <w:gridSpan w:val="2"/>
            <w:tcBorders>
              <w:top w:val="single" w:sz="12" w:space="0" w:color="0083BE"/>
            </w:tcBorders>
            <w:shd w:val="clear" w:color="auto" w:fill="70AD47" w:themeFill="accent6"/>
          </w:tcPr>
          <w:p w14:paraId="66D2CD64" w14:textId="77777777" w:rsidR="00DA2ECF" w:rsidRPr="0005655C" w:rsidRDefault="00F20531" w:rsidP="003D781A">
            <w:pPr>
              <w:spacing w:line="276" w:lineRule="auto"/>
              <w:rPr>
                <w:rFonts w:ascii="Arial" w:hAnsi="Arial" w:cs="Arial"/>
                <w:b/>
                <w:sz w:val="22"/>
                <w:szCs w:val="22"/>
              </w:rPr>
            </w:pPr>
            <w:r w:rsidRPr="0005655C">
              <w:rPr>
                <w:rFonts w:ascii="Arial" w:hAnsi="Arial" w:cs="Arial"/>
                <w:b/>
                <w:color w:val="FFFFFF"/>
                <w:sz w:val="22"/>
                <w:szCs w:val="22"/>
              </w:rPr>
              <w:lastRenderedPageBreak/>
              <w:t>Stage 4 – Summary of the Appropriate Assessment (To be carried out by the Competent Authority (the local planning authority) in liaison with Natural England</w:t>
            </w:r>
          </w:p>
        </w:tc>
      </w:tr>
      <w:tr w:rsidR="00EA0957" w:rsidRPr="0005655C" w14:paraId="36421AEC" w14:textId="77777777" w:rsidTr="00E235BE">
        <w:tc>
          <w:tcPr>
            <w:tcW w:w="9608" w:type="dxa"/>
            <w:gridSpan w:val="2"/>
          </w:tcPr>
          <w:p w14:paraId="4C032A5F" w14:textId="77B8E080" w:rsidR="009F365D" w:rsidRPr="0005655C" w:rsidRDefault="00F20531" w:rsidP="00BC7C5B">
            <w:pPr>
              <w:spacing w:line="276" w:lineRule="auto"/>
              <w:rPr>
                <w:rFonts w:ascii="Arial" w:hAnsi="Arial" w:cs="Arial"/>
                <w:sz w:val="22"/>
                <w:szCs w:val="22"/>
              </w:rPr>
            </w:pPr>
            <w:r w:rsidRPr="0005655C">
              <w:rPr>
                <w:rFonts w:ascii="Arial" w:hAnsi="Arial" w:cs="Arial"/>
                <w:sz w:val="22"/>
                <w:szCs w:val="22"/>
              </w:rPr>
              <w:t>In conclusion,</w:t>
            </w:r>
            <w:r w:rsidR="00EB38E9" w:rsidRPr="0005655C">
              <w:rPr>
                <w:rFonts w:ascii="Arial" w:hAnsi="Arial" w:cs="Arial"/>
                <w:sz w:val="22"/>
                <w:szCs w:val="22"/>
              </w:rPr>
              <w:t xml:space="preserve"> subject to</w:t>
            </w:r>
            <w:r w:rsidR="009F365D" w:rsidRPr="0005655C">
              <w:rPr>
                <w:rFonts w:ascii="Arial" w:hAnsi="Arial" w:cs="Arial"/>
                <w:sz w:val="22"/>
                <w:szCs w:val="22"/>
              </w:rPr>
              <w:t xml:space="preserve"> </w:t>
            </w:r>
            <w:r w:rsidR="00C6212D" w:rsidRPr="0005655C">
              <w:rPr>
                <w:rFonts w:ascii="Arial" w:hAnsi="Arial" w:cs="Arial"/>
                <w:sz w:val="22"/>
                <w:szCs w:val="22"/>
              </w:rPr>
              <w:t>mitigation in accordance with the Council’s Nutrient Neutrality Offset Scheme</w:t>
            </w:r>
            <w:r w:rsidR="00DE3EDE" w:rsidRPr="0005655C">
              <w:rPr>
                <w:rFonts w:ascii="Arial" w:hAnsi="Arial" w:cs="Arial"/>
                <w:sz w:val="22"/>
                <w:szCs w:val="22"/>
              </w:rPr>
              <w:t xml:space="preserve"> and </w:t>
            </w:r>
            <w:r w:rsidR="00C6212D" w:rsidRPr="0005655C">
              <w:rPr>
                <w:rFonts w:ascii="Arial" w:hAnsi="Arial" w:cs="Arial"/>
                <w:sz w:val="22"/>
                <w:szCs w:val="22"/>
              </w:rPr>
              <w:t xml:space="preserve">a contribution towards the </w:t>
            </w:r>
            <w:r w:rsidR="00B83CC8" w:rsidRPr="0005655C">
              <w:rPr>
                <w:rFonts w:ascii="Arial" w:hAnsi="Arial" w:cs="Arial"/>
                <w:sz w:val="22"/>
                <w:szCs w:val="22"/>
              </w:rPr>
              <w:t>Council’s New Forest Mitigation Strategy</w:t>
            </w:r>
            <w:r w:rsidR="00C7546D" w:rsidRPr="0005655C">
              <w:rPr>
                <w:rFonts w:ascii="Arial" w:hAnsi="Arial" w:cs="Arial"/>
                <w:sz w:val="22"/>
                <w:szCs w:val="22"/>
              </w:rPr>
              <w:t xml:space="preserve">, </w:t>
            </w:r>
            <w:r w:rsidRPr="0005655C">
              <w:rPr>
                <w:rFonts w:ascii="Arial" w:hAnsi="Arial" w:cs="Arial"/>
                <w:sz w:val="22"/>
                <w:szCs w:val="22"/>
              </w:rPr>
              <w:t xml:space="preserve">the application will </w:t>
            </w:r>
            <w:r w:rsidR="001C71EF" w:rsidRPr="0005655C">
              <w:rPr>
                <w:rFonts w:ascii="Arial" w:hAnsi="Arial" w:cs="Arial"/>
                <w:sz w:val="22"/>
                <w:szCs w:val="22"/>
              </w:rPr>
              <w:t xml:space="preserve">not </w:t>
            </w:r>
            <w:r w:rsidRPr="0005655C">
              <w:rPr>
                <w:rFonts w:ascii="Arial" w:hAnsi="Arial" w:cs="Arial"/>
                <w:sz w:val="22"/>
                <w:szCs w:val="22"/>
              </w:rPr>
              <w:t xml:space="preserve">have a likely significant effect on </w:t>
            </w:r>
            <w:r w:rsidR="00D55CC5" w:rsidRPr="0005655C">
              <w:rPr>
                <w:rFonts w:ascii="Arial" w:hAnsi="Arial" w:cs="Arial"/>
                <w:sz w:val="22"/>
                <w:szCs w:val="22"/>
              </w:rPr>
              <w:t xml:space="preserve">the protected sites.  </w:t>
            </w:r>
            <w:r w:rsidRPr="0005655C">
              <w:rPr>
                <w:rFonts w:ascii="Arial" w:hAnsi="Arial" w:cs="Arial"/>
                <w:sz w:val="22"/>
                <w:szCs w:val="22"/>
              </w:rPr>
              <w:t xml:space="preserve"> </w:t>
            </w:r>
          </w:p>
          <w:p w14:paraId="557C51CE" w14:textId="77777777" w:rsidR="009F365D" w:rsidRPr="0005655C" w:rsidRDefault="009F365D" w:rsidP="00BC7C5B">
            <w:pPr>
              <w:spacing w:line="276" w:lineRule="auto"/>
              <w:rPr>
                <w:rFonts w:ascii="Arial" w:hAnsi="Arial" w:cs="Arial"/>
                <w:sz w:val="22"/>
                <w:szCs w:val="22"/>
              </w:rPr>
            </w:pPr>
          </w:p>
          <w:p w14:paraId="6B1F991F" w14:textId="307D6444" w:rsidR="00DA2ECF" w:rsidRPr="0005655C" w:rsidRDefault="00F20531" w:rsidP="00BC7C5B">
            <w:pPr>
              <w:spacing w:line="276" w:lineRule="auto"/>
              <w:rPr>
                <w:rFonts w:ascii="Arial" w:hAnsi="Arial" w:cs="Arial"/>
                <w:sz w:val="22"/>
                <w:szCs w:val="22"/>
              </w:rPr>
            </w:pPr>
            <w:r w:rsidRPr="0005655C">
              <w:rPr>
                <w:rFonts w:ascii="Arial" w:hAnsi="Arial" w:cs="Arial"/>
                <w:sz w:val="22"/>
                <w:szCs w:val="22"/>
              </w:rPr>
              <w:t>This represents the authorit</w:t>
            </w:r>
            <w:r w:rsidR="001C71EF" w:rsidRPr="0005655C">
              <w:rPr>
                <w:rFonts w:ascii="Arial" w:hAnsi="Arial" w:cs="Arial"/>
                <w:sz w:val="22"/>
                <w:szCs w:val="22"/>
              </w:rPr>
              <w:t>y’s</w:t>
            </w:r>
            <w:r w:rsidRPr="0005655C">
              <w:rPr>
                <w:rFonts w:ascii="Arial" w:hAnsi="Arial" w:cs="Arial"/>
                <w:sz w:val="22"/>
                <w:szCs w:val="22"/>
              </w:rPr>
              <w:t xml:space="preserve"> </w:t>
            </w:r>
            <w:r w:rsidR="00EB38E9" w:rsidRPr="0005655C">
              <w:rPr>
                <w:rFonts w:ascii="Arial" w:hAnsi="Arial" w:cs="Arial"/>
                <w:sz w:val="22"/>
                <w:szCs w:val="22"/>
              </w:rPr>
              <w:t xml:space="preserve">Appropriate Assessment as Competent Authority in accordance with the requirements </w:t>
            </w:r>
            <w:r w:rsidRPr="0005655C">
              <w:rPr>
                <w:rFonts w:ascii="Arial" w:hAnsi="Arial" w:cs="Arial"/>
                <w:sz w:val="22"/>
                <w:szCs w:val="22"/>
              </w:rPr>
              <w:t>under Regulation 63 of the Conservation of Habitats and Species Regulations 2017, Article 6 (3) of the Habitats Directive and having due regard to its duties under Section 40(1) of the NERC Act 2006 to the purpose of conserving biodiversity. Consideration of the Ramsar site/s is a matter of government policy set out in the National Planning Policy Framework</w:t>
            </w:r>
            <w:r w:rsidR="001C71EF" w:rsidRPr="0005655C">
              <w:rPr>
                <w:rFonts w:ascii="Arial" w:hAnsi="Arial" w:cs="Arial"/>
                <w:sz w:val="22"/>
                <w:szCs w:val="22"/>
              </w:rPr>
              <w:t xml:space="preserve">.  </w:t>
            </w:r>
          </w:p>
        </w:tc>
      </w:tr>
    </w:tbl>
    <w:p w14:paraId="210F8F80" w14:textId="77777777" w:rsidR="00DA2ECF" w:rsidRPr="0005655C" w:rsidRDefault="00DA2ECF" w:rsidP="000A6BF4">
      <w:pPr>
        <w:spacing w:line="276" w:lineRule="auto"/>
        <w:rPr>
          <w:rFonts w:ascii="Arial" w:hAnsi="Arial" w:cs="Arial"/>
          <w:sz w:val="22"/>
          <w:szCs w:val="22"/>
        </w:rPr>
      </w:pPr>
    </w:p>
    <w:sectPr w:rsidR="00DA2ECF" w:rsidRPr="0005655C"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51BE1"/>
    <w:multiLevelType w:val="hybridMultilevel"/>
    <w:tmpl w:val="673CE716"/>
    <w:lvl w:ilvl="0" w:tplc="08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202F6AC5"/>
    <w:multiLevelType w:val="hybridMultilevel"/>
    <w:tmpl w:val="C584F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724754"/>
    <w:multiLevelType w:val="hybridMultilevel"/>
    <w:tmpl w:val="B76C4B88"/>
    <w:lvl w:ilvl="0" w:tplc="A5D8D0B2">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 w15:restartNumberingAfterBreak="0">
    <w:nsid w:val="40386F55"/>
    <w:multiLevelType w:val="hybridMultilevel"/>
    <w:tmpl w:val="E3388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C4035C"/>
    <w:multiLevelType w:val="hybridMultilevel"/>
    <w:tmpl w:val="6F326F0A"/>
    <w:lvl w:ilvl="0" w:tplc="A0F093DC">
      <w:start w:val="1"/>
      <w:numFmt w:val="lowerLetter"/>
      <w:lvlText w:val="%1)"/>
      <w:lvlJc w:val="left"/>
      <w:pPr>
        <w:ind w:left="720" w:hanging="360"/>
      </w:pPr>
    </w:lvl>
    <w:lvl w:ilvl="1" w:tplc="CAF2610C" w:tentative="1">
      <w:start w:val="1"/>
      <w:numFmt w:val="lowerLetter"/>
      <w:lvlText w:val="%2."/>
      <w:lvlJc w:val="left"/>
      <w:pPr>
        <w:ind w:left="1440" w:hanging="360"/>
      </w:pPr>
    </w:lvl>
    <w:lvl w:ilvl="2" w:tplc="7348233A" w:tentative="1">
      <w:start w:val="1"/>
      <w:numFmt w:val="lowerRoman"/>
      <w:lvlText w:val="%3."/>
      <w:lvlJc w:val="right"/>
      <w:pPr>
        <w:ind w:left="2160" w:hanging="180"/>
      </w:pPr>
    </w:lvl>
    <w:lvl w:ilvl="3" w:tplc="CF6CD8A0" w:tentative="1">
      <w:start w:val="1"/>
      <w:numFmt w:val="decimal"/>
      <w:lvlText w:val="%4."/>
      <w:lvlJc w:val="left"/>
      <w:pPr>
        <w:ind w:left="2880" w:hanging="360"/>
      </w:pPr>
    </w:lvl>
    <w:lvl w:ilvl="4" w:tplc="EABE1C9C" w:tentative="1">
      <w:start w:val="1"/>
      <w:numFmt w:val="lowerLetter"/>
      <w:lvlText w:val="%5."/>
      <w:lvlJc w:val="left"/>
      <w:pPr>
        <w:ind w:left="3600" w:hanging="360"/>
      </w:pPr>
    </w:lvl>
    <w:lvl w:ilvl="5" w:tplc="D1D683EA" w:tentative="1">
      <w:start w:val="1"/>
      <w:numFmt w:val="lowerRoman"/>
      <w:lvlText w:val="%6."/>
      <w:lvlJc w:val="right"/>
      <w:pPr>
        <w:ind w:left="4320" w:hanging="180"/>
      </w:pPr>
    </w:lvl>
    <w:lvl w:ilvl="6" w:tplc="0D4C960A" w:tentative="1">
      <w:start w:val="1"/>
      <w:numFmt w:val="decimal"/>
      <w:lvlText w:val="%7."/>
      <w:lvlJc w:val="left"/>
      <w:pPr>
        <w:ind w:left="5040" w:hanging="360"/>
      </w:pPr>
    </w:lvl>
    <w:lvl w:ilvl="7" w:tplc="9A428348" w:tentative="1">
      <w:start w:val="1"/>
      <w:numFmt w:val="lowerLetter"/>
      <w:lvlText w:val="%8."/>
      <w:lvlJc w:val="left"/>
      <w:pPr>
        <w:ind w:left="5760" w:hanging="360"/>
      </w:pPr>
    </w:lvl>
    <w:lvl w:ilvl="8" w:tplc="CC8ED73C" w:tentative="1">
      <w:start w:val="1"/>
      <w:numFmt w:val="lowerRoman"/>
      <w:lvlText w:val="%9."/>
      <w:lvlJc w:val="right"/>
      <w:pPr>
        <w:ind w:left="6480" w:hanging="180"/>
      </w:pPr>
    </w:lvl>
  </w:abstractNum>
  <w:abstractNum w:abstractNumId="5" w15:restartNumberingAfterBreak="0">
    <w:nsid w:val="608467C8"/>
    <w:multiLevelType w:val="hybridMultilevel"/>
    <w:tmpl w:val="7624E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D56499"/>
    <w:multiLevelType w:val="hybridMultilevel"/>
    <w:tmpl w:val="9DDA551E"/>
    <w:lvl w:ilvl="0" w:tplc="124E796E">
      <w:start w:val="1"/>
      <w:numFmt w:val="decimal"/>
      <w:lvlText w:val="4.%1"/>
      <w:lvlJc w:val="left"/>
      <w:pPr>
        <w:ind w:left="720" w:hanging="360"/>
      </w:pPr>
      <w:rPr>
        <w:rFonts w:hint="default"/>
        <w:sz w:val="22"/>
        <w:szCs w:val="22"/>
      </w:rPr>
    </w:lvl>
    <w:lvl w:ilvl="1" w:tplc="04E06BF2" w:tentative="1">
      <w:start w:val="1"/>
      <w:numFmt w:val="lowerLetter"/>
      <w:lvlText w:val="%2."/>
      <w:lvlJc w:val="left"/>
      <w:pPr>
        <w:ind w:left="1440" w:hanging="360"/>
      </w:pPr>
    </w:lvl>
    <w:lvl w:ilvl="2" w:tplc="B0E83BC2">
      <w:start w:val="1"/>
      <w:numFmt w:val="lowerRoman"/>
      <w:lvlText w:val="%3."/>
      <w:lvlJc w:val="right"/>
      <w:pPr>
        <w:ind w:left="2160" w:hanging="180"/>
      </w:pPr>
    </w:lvl>
    <w:lvl w:ilvl="3" w:tplc="E1C03170" w:tentative="1">
      <w:start w:val="1"/>
      <w:numFmt w:val="decimal"/>
      <w:lvlText w:val="%4."/>
      <w:lvlJc w:val="left"/>
      <w:pPr>
        <w:ind w:left="2880" w:hanging="360"/>
      </w:pPr>
    </w:lvl>
    <w:lvl w:ilvl="4" w:tplc="16C61E78" w:tentative="1">
      <w:start w:val="1"/>
      <w:numFmt w:val="lowerLetter"/>
      <w:lvlText w:val="%5."/>
      <w:lvlJc w:val="left"/>
      <w:pPr>
        <w:ind w:left="3600" w:hanging="360"/>
      </w:pPr>
    </w:lvl>
    <w:lvl w:ilvl="5" w:tplc="4620990E" w:tentative="1">
      <w:start w:val="1"/>
      <w:numFmt w:val="lowerRoman"/>
      <w:lvlText w:val="%6."/>
      <w:lvlJc w:val="right"/>
      <w:pPr>
        <w:ind w:left="4320" w:hanging="180"/>
      </w:pPr>
    </w:lvl>
    <w:lvl w:ilvl="6" w:tplc="4B36BEF8" w:tentative="1">
      <w:start w:val="1"/>
      <w:numFmt w:val="decimal"/>
      <w:lvlText w:val="%7."/>
      <w:lvlJc w:val="left"/>
      <w:pPr>
        <w:ind w:left="5040" w:hanging="360"/>
      </w:pPr>
    </w:lvl>
    <w:lvl w:ilvl="7" w:tplc="A232F0EE" w:tentative="1">
      <w:start w:val="1"/>
      <w:numFmt w:val="lowerLetter"/>
      <w:lvlText w:val="%8."/>
      <w:lvlJc w:val="left"/>
      <w:pPr>
        <w:ind w:left="5760" w:hanging="360"/>
      </w:pPr>
    </w:lvl>
    <w:lvl w:ilvl="8" w:tplc="839438AC" w:tentative="1">
      <w:start w:val="1"/>
      <w:numFmt w:val="lowerRoman"/>
      <w:lvlText w:val="%9."/>
      <w:lvlJc w:val="right"/>
      <w:pPr>
        <w:ind w:left="6480" w:hanging="180"/>
      </w:pPr>
    </w:lvl>
  </w:abstractNum>
  <w:abstractNum w:abstractNumId="7" w15:restartNumberingAfterBreak="0">
    <w:nsid w:val="73B254BA"/>
    <w:multiLevelType w:val="hybridMultilevel"/>
    <w:tmpl w:val="0A0A65FA"/>
    <w:lvl w:ilvl="0" w:tplc="157A4622">
      <w:start w:val="13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8270D8"/>
    <w:multiLevelType w:val="hybridMultilevel"/>
    <w:tmpl w:val="D7C65186"/>
    <w:lvl w:ilvl="0" w:tplc="927E8656">
      <w:start w:val="1"/>
      <w:numFmt w:val="bullet"/>
      <w:lvlText w:val=""/>
      <w:lvlJc w:val="left"/>
      <w:pPr>
        <w:ind w:left="720" w:hanging="360"/>
      </w:pPr>
      <w:rPr>
        <w:rFonts w:ascii="Wingdings" w:hAnsi="Wingdings" w:hint="default"/>
        <w:color w:val="000000"/>
      </w:rPr>
    </w:lvl>
    <w:lvl w:ilvl="1" w:tplc="32069DAC" w:tentative="1">
      <w:start w:val="1"/>
      <w:numFmt w:val="bullet"/>
      <w:lvlText w:val="o"/>
      <w:lvlJc w:val="left"/>
      <w:pPr>
        <w:ind w:left="1440" w:hanging="360"/>
      </w:pPr>
      <w:rPr>
        <w:rFonts w:ascii="Courier New" w:hAnsi="Courier New" w:hint="default"/>
      </w:rPr>
    </w:lvl>
    <w:lvl w:ilvl="2" w:tplc="69C4EA4C" w:tentative="1">
      <w:start w:val="1"/>
      <w:numFmt w:val="bullet"/>
      <w:lvlText w:val=""/>
      <w:lvlJc w:val="left"/>
      <w:pPr>
        <w:ind w:left="2160" w:hanging="360"/>
      </w:pPr>
      <w:rPr>
        <w:rFonts w:ascii="Wingdings" w:hAnsi="Wingdings" w:hint="default"/>
      </w:rPr>
    </w:lvl>
    <w:lvl w:ilvl="3" w:tplc="E6248158" w:tentative="1">
      <w:start w:val="1"/>
      <w:numFmt w:val="bullet"/>
      <w:lvlText w:val=""/>
      <w:lvlJc w:val="left"/>
      <w:pPr>
        <w:ind w:left="2880" w:hanging="360"/>
      </w:pPr>
      <w:rPr>
        <w:rFonts w:ascii="Symbol" w:hAnsi="Symbol" w:hint="default"/>
      </w:rPr>
    </w:lvl>
    <w:lvl w:ilvl="4" w:tplc="7898E604" w:tentative="1">
      <w:start w:val="1"/>
      <w:numFmt w:val="bullet"/>
      <w:lvlText w:val="o"/>
      <w:lvlJc w:val="left"/>
      <w:pPr>
        <w:ind w:left="3600" w:hanging="360"/>
      </w:pPr>
      <w:rPr>
        <w:rFonts w:ascii="Courier New" w:hAnsi="Courier New" w:hint="default"/>
      </w:rPr>
    </w:lvl>
    <w:lvl w:ilvl="5" w:tplc="AA8C28AE" w:tentative="1">
      <w:start w:val="1"/>
      <w:numFmt w:val="bullet"/>
      <w:lvlText w:val=""/>
      <w:lvlJc w:val="left"/>
      <w:pPr>
        <w:ind w:left="4320" w:hanging="360"/>
      </w:pPr>
      <w:rPr>
        <w:rFonts w:ascii="Wingdings" w:hAnsi="Wingdings" w:hint="default"/>
      </w:rPr>
    </w:lvl>
    <w:lvl w:ilvl="6" w:tplc="F56E07F4" w:tentative="1">
      <w:start w:val="1"/>
      <w:numFmt w:val="bullet"/>
      <w:lvlText w:val=""/>
      <w:lvlJc w:val="left"/>
      <w:pPr>
        <w:ind w:left="5040" w:hanging="360"/>
      </w:pPr>
      <w:rPr>
        <w:rFonts w:ascii="Symbol" w:hAnsi="Symbol" w:hint="default"/>
      </w:rPr>
    </w:lvl>
    <w:lvl w:ilvl="7" w:tplc="68E6966A" w:tentative="1">
      <w:start w:val="1"/>
      <w:numFmt w:val="bullet"/>
      <w:lvlText w:val="o"/>
      <w:lvlJc w:val="left"/>
      <w:pPr>
        <w:ind w:left="5760" w:hanging="360"/>
      </w:pPr>
      <w:rPr>
        <w:rFonts w:ascii="Courier New" w:hAnsi="Courier New" w:hint="default"/>
      </w:rPr>
    </w:lvl>
    <w:lvl w:ilvl="8" w:tplc="0BA8AF56" w:tentative="1">
      <w:start w:val="1"/>
      <w:numFmt w:val="bullet"/>
      <w:lvlText w:val=""/>
      <w:lvlJc w:val="left"/>
      <w:pPr>
        <w:ind w:left="6480" w:hanging="360"/>
      </w:pPr>
      <w:rPr>
        <w:rFonts w:ascii="Wingdings" w:hAnsi="Wingdings" w:hint="default"/>
      </w:rPr>
    </w:lvl>
  </w:abstractNum>
  <w:num w:numId="1" w16cid:durableId="532814661">
    <w:abstractNumId w:val="8"/>
  </w:num>
  <w:num w:numId="2" w16cid:durableId="611131189">
    <w:abstractNumId w:val="6"/>
  </w:num>
  <w:num w:numId="3" w16cid:durableId="82800401">
    <w:abstractNumId w:val="4"/>
  </w:num>
  <w:num w:numId="4" w16cid:durableId="90200455">
    <w:abstractNumId w:val="2"/>
  </w:num>
  <w:num w:numId="5" w16cid:durableId="1538005361">
    <w:abstractNumId w:val="3"/>
  </w:num>
  <w:num w:numId="6" w16cid:durableId="868497119">
    <w:abstractNumId w:val="0"/>
  </w:num>
  <w:num w:numId="7" w16cid:durableId="867257249">
    <w:abstractNumId w:val="1"/>
  </w:num>
  <w:num w:numId="8" w16cid:durableId="1506283717">
    <w:abstractNumId w:val="7"/>
  </w:num>
  <w:num w:numId="9" w16cid:durableId="12540463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957"/>
    <w:rsid w:val="00010D2B"/>
    <w:rsid w:val="000276FC"/>
    <w:rsid w:val="00044A42"/>
    <w:rsid w:val="00051DDF"/>
    <w:rsid w:val="0005655C"/>
    <w:rsid w:val="00061332"/>
    <w:rsid w:val="00076F55"/>
    <w:rsid w:val="00084020"/>
    <w:rsid w:val="00090526"/>
    <w:rsid w:val="00094DEB"/>
    <w:rsid w:val="000A51EB"/>
    <w:rsid w:val="000B70C3"/>
    <w:rsid w:val="000C045C"/>
    <w:rsid w:val="000C594E"/>
    <w:rsid w:val="000C6390"/>
    <w:rsid w:val="000C673D"/>
    <w:rsid w:val="000D23CD"/>
    <w:rsid w:val="000E2537"/>
    <w:rsid w:val="000E56B8"/>
    <w:rsid w:val="000F182F"/>
    <w:rsid w:val="00103771"/>
    <w:rsid w:val="00117149"/>
    <w:rsid w:val="001235BB"/>
    <w:rsid w:val="00135BE0"/>
    <w:rsid w:val="00141E84"/>
    <w:rsid w:val="00157C5D"/>
    <w:rsid w:val="00166793"/>
    <w:rsid w:val="001703AC"/>
    <w:rsid w:val="00183712"/>
    <w:rsid w:val="00192E55"/>
    <w:rsid w:val="00193157"/>
    <w:rsid w:val="001937F8"/>
    <w:rsid w:val="001C1E62"/>
    <w:rsid w:val="001C3B8F"/>
    <w:rsid w:val="001C71EF"/>
    <w:rsid w:val="001D5637"/>
    <w:rsid w:val="001E0D06"/>
    <w:rsid w:val="001F385B"/>
    <w:rsid w:val="00202897"/>
    <w:rsid w:val="00204BB8"/>
    <w:rsid w:val="00205FDC"/>
    <w:rsid w:val="00206DC0"/>
    <w:rsid w:val="002360D1"/>
    <w:rsid w:val="00240FC9"/>
    <w:rsid w:val="00247961"/>
    <w:rsid w:val="00251E3D"/>
    <w:rsid w:val="00256DFA"/>
    <w:rsid w:val="00262EBF"/>
    <w:rsid w:val="00276809"/>
    <w:rsid w:val="002875AD"/>
    <w:rsid w:val="00290500"/>
    <w:rsid w:val="00291B11"/>
    <w:rsid w:val="00292FCB"/>
    <w:rsid w:val="00293720"/>
    <w:rsid w:val="002A066B"/>
    <w:rsid w:val="002B16F5"/>
    <w:rsid w:val="002B38DF"/>
    <w:rsid w:val="002B4B7C"/>
    <w:rsid w:val="002B5306"/>
    <w:rsid w:val="002B6A04"/>
    <w:rsid w:val="002D285E"/>
    <w:rsid w:val="002D5439"/>
    <w:rsid w:val="002E3794"/>
    <w:rsid w:val="002E4B20"/>
    <w:rsid w:val="00301E7B"/>
    <w:rsid w:val="00310816"/>
    <w:rsid w:val="00311811"/>
    <w:rsid w:val="00312C41"/>
    <w:rsid w:val="003148BE"/>
    <w:rsid w:val="00317F8A"/>
    <w:rsid w:val="00322868"/>
    <w:rsid w:val="00324884"/>
    <w:rsid w:val="00330BF3"/>
    <w:rsid w:val="00332EBC"/>
    <w:rsid w:val="003379DD"/>
    <w:rsid w:val="003431C2"/>
    <w:rsid w:val="003439F3"/>
    <w:rsid w:val="00347540"/>
    <w:rsid w:val="00350D48"/>
    <w:rsid w:val="0035664C"/>
    <w:rsid w:val="003614E0"/>
    <w:rsid w:val="003761E5"/>
    <w:rsid w:val="00393175"/>
    <w:rsid w:val="003933F7"/>
    <w:rsid w:val="003B2091"/>
    <w:rsid w:val="003B43DF"/>
    <w:rsid w:val="003B5E31"/>
    <w:rsid w:val="003B6247"/>
    <w:rsid w:val="003C3131"/>
    <w:rsid w:val="003C67E9"/>
    <w:rsid w:val="003E3341"/>
    <w:rsid w:val="003E5E00"/>
    <w:rsid w:val="003F4430"/>
    <w:rsid w:val="00410CCB"/>
    <w:rsid w:val="00412429"/>
    <w:rsid w:val="004124B1"/>
    <w:rsid w:val="0041499F"/>
    <w:rsid w:val="00422CA1"/>
    <w:rsid w:val="00426A79"/>
    <w:rsid w:val="00430278"/>
    <w:rsid w:val="004317C8"/>
    <w:rsid w:val="004430F9"/>
    <w:rsid w:val="004619BF"/>
    <w:rsid w:val="00470753"/>
    <w:rsid w:val="00471F39"/>
    <w:rsid w:val="004737BC"/>
    <w:rsid w:val="00476CA6"/>
    <w:rsid w:val="004B028A"/>
    <w:rsid w:val="004B51C0"/>
    <w:rsid w:val="004C0993"/>
    <w:rsid w:val="004C1707"/>
    <w:rsid w:val="004C6263"/>
    <w:rsid w:val="004C72E0"/>
    <w:rsid w:val="004E29DF"/>
    <w:rsid w:val="004F0086"/>
    <w:rsid w:val="005014DE"/>
    <w:rsid w:val="00502080"/>
    <w:rsid w:val="00503114"/>
    <w:rsid w:val="005056A8"/>
    <w:rsid w:val="0053375D"/>
    <w:rsid w:val="0053477E"/>
    <w:rsid w:val="00555AD4"/>
    <w:rsid w:val="0056045A"/>
    <w:rsid w:val="0056047C"/>
    <w:rsid w:val="00573FE8"/>
    <w:rsid w:val="005837CD"/>
    <w:rsid w:val="005843B4"/>
    <w:rsid w:val="0058687E"/>
    <w:rsid w:val="00597FBE"/>
    <w:rsid w:val="005A2CF8"/>
    <w:rsid w:val="005A746C"/>
    <w:rsid w:val="005B136B"/>
    <w:rsid w:val="005B784B"/>
    <w:rsid w:val="005C560A"/>
    <w:rsid w:val="005C5E6C"/>
    <w:rsid w:val="005C6CBD"/>
    <w:rsid w:val="005D08CA"/>
    <w:rsid w:val="005E60E3"/>
    <w:rsid w:val="005F58FE"/>
    <w:rsid w:val="00613567"/>
    <w:rsid w:val="0062250C"/>
    <w:rsid w:val="00624CE2"/>
    <w:rsid w:val="006344BB"/>
    <w:rsid w:val="0063784E"/>
    <w:rsid w:val="00641C69"/>
    <w:rsid w:val="00655A9E"/>
    <w:rsid w:val="006640FF"/>
    <w:rsid w:val="00673184"/>
    <w:rsid w:val="006744CA"/>
    <w:rsid w:val="00675CA6"/>
    <w:rsid w:val="006775AB"/>
    <w:rsid w:val="0068699A"/>
    <w:rsid w:val="00690371"/>
    <w:rsid w:val="00697926"/>
    <w:rsid w:val="006A1BAB"/>
    <w:rsid w:val="006B7A42"/>
    <w:rsid w:val="006C7417"/>
    <w:rsid w:val="006D0763"/>
    <w:rsid w:val="006D14C9"/>
    <w:rsid w:val="006E39B8"/>
    <w:rsid w:val="006F54CD"/>
    <w:rsid w:val="007016ED"/>
    <w:rsid w:val="00706738"/>
    <w:rsid w:val="0070698A"/>
    <w:rsid w:val="00706B69"/>
    <w:rsid w:val="007231F4"/>
    <w:rsid w:val="00727761"/>
    <w:rsid w:val="00731ED9"/>
    <w:rsid w:val="00734307"/>
    <w:rsid w:val="007561F8"/>
    <w:rsid w:val="007708DC"/>
    <w:rsid w:val="00774367"/>
    <w:rsid w:val="00785751"/>
    <w:rsid w:val="007A2565"/>
    <w:rsid w:val="007A6978"/>
    <w:rsid w:val="007B2627"/>
    <w:rsid w:val="007C0A2C"/>
    <w:rsid w:val="007C6376"/>
    <w:rsid w:val="007C63AB"/>
    <w:rsid w:val="007E67A4"/>
    <w:rsid w:val="00815E2A"/>
    <w:rsid w:val="00832FDA"/>
    <w:rsid w:val="0083341D"/>
    <w:rsid w:val="008372D0"/>
    <w:rsid w:val="008446C4"/>
    <w:rsid w:val="0084766E"/>
    <w:rsid w:val="008520BE"/>
    <w:rsid w:val="008604E8"/>
    <w:rsid w:val="00863D3E"/>
    <w:rsid w:val="00864666"/>
    <w:rsid w:val="00864C6C"/>
    <w:rsid w:val="008731B9"/>
    <w:rsid w:val="00876A58"/>
    <w:rsid w:val="00885EA3"/>
    <w:rsid w:val="00886865"/>
    <w:rsid w:val="008A5E23"/>
    <w:rsid w:val="008B0D92"/>
    <w:rsid w:val="008B393D"/>
    <w:rsid w:val="008C26AB"/>
    <w:rsid w:val="008C7326"/>
    <w:rsid w:val="008D4A93"/>
    <w:rsid w:val="008E3C8C"/>
    <w:rsid w:val="008E6FF3"/>
    <w:rsid w:val="008F11D0"/>
    <w:rsid w:val="008F1DAC"/>
    <w:rsid w:val="008F54CD"/>
    <w:rsid w:val="009077D1"/>
    <w:rsid w:val="00911098"/>
    <w:rsid w:val="00921E75"/>
    <w:rsid w:val="00932F59"/>
    <w:rsid w:val="009378BC"/>
    <w:rsid w:val="00966C1E"/>
    <w:rsid w:val="00970D09"/>
    <w:rsid w:val="0097426A"/>
    <w:rsid w:val="00975E8A"/>
    <w:rsid w:val="0097736F"/>
    <w:rsid w:val="0098719B"/>
    <w:rsid w:val="00990146"/>
    <w:rsid w:val="00990DBF"/>
    <w:rsid w:val="009C029A"/>
    <w:rsid w:val="009C4017"/>
    <w:rsid w:val="009E25B5"/>
    <w:rsid w:val="009E28AB"/>
    <w:rsid w:val="009F0A40"/>
    <w:rsid w:val="009F365D"/>
    <w:rsid w:val="00A01832"/>
    <w:rsid w:val="00A02EE0"/>
    <w:rsid w:val="00A03BEE"/>
    <w:rsid w:val="00A103DA"/>
    <w:rsid w:val="00A13E93"/>
    <w:rsid w:val="00A21DF1"/>
    <w:rsid w:val="00A2403F"/>
    <w:rsid w:val="00A243A9"/>
    <w:rsid w:val="00A40E56"/>
    <w:rsid w:val="00A50B47"/>
    <w:rsid w:val="00A5496C"/>
    <w:rsid w:val="00A67128"/>
    <w:rsid w:val="00A700AB"/>
    <w:rsid w:val="00A878DB"/>
    <w:rsid w:val="00A90D5B"/>
    <w:rsid w:val="00AB52A9"/>
    <w:rsid w:val="00AC2EDE"/>
    <w:rsid w:val="00AC3FBA"/>
    <w:rsid w:val="00AD12A8"/>
    <w:rsid w:val="00AD30AE"/>
    <w:rsid w:val="00AD3D79"/>
    <w:rsid w:val="00AE1819"/>
    <w:rsid w:val="00AE4523"/>
    <w:rsid w:val="00AF07AC"/>
    <w:rsid w:val="00AF3CF4"/>
    <w:rsid w:val="00AF6C4A"/>
    <w:rsid w:val="00B022D7"/>
    <w:rsid w:val="00B027F2"/>
    <w:rsid w:val="00B05760"/>
    <w:rsid w:val="00B07759"/>
    <w:rsid w:val="00B23B75"/>
    <w:rsid w:val="00B2716A"/>
    <w:rsid w:val="00B41FD5"/>
    <w:rsid w:val="00B431CD"/>
    <w:rsid w:val="00B551C8"/>
    <w:rsid w:val="00B67853"/>
    <w:rsid w:val="00B83CC8"/>
    <w:rsid w:val="00B859CC"/>
    <w:rsid w:val="00B86C31"/>
    <w:rsid w:val="00B9046E"/>
    <w:rsid w:val="00B94215"/>
    <w:rsid w:val="00B97C9C"/>
    <w:rsid w:val="00BA141F"/>
    <w:rsid w:val="00BC15F0"/>
    <w:rsid w:val="00BC281A"/>
    <w:rsid w:val="00BC4E7D"/>
    <w:rsid w:val="00BC6B27"/>
    <w:rsid w:val="00BE12D7"/>
    <w:rsid w:val="00BE4A76"/>
    <w:rsid w:val="00BF4703"/>
    <w:rsid w:val="00BF48E0"/>
    <w:rsid w:val="00BF4A62"/>
    <w:rsid w:val="00C044B1"/>
    <w:rsid w:val="00C077B2"/>
    <w:rsid w:val="00C12F27"/>
    <w:rsid w:val="00C141BE"/>
    <w:rsid w:val="00C26524"/>
    <w:rsid w:val="00C3448B"/>
    <w:rsid w:val="00C455E9"/>
    <w:rsid w:val="00C4586E"/>
    <w:rsid w:val="00C46B41"/>
    <w:rsid w:val="00C52490"/>
    <w:rsid w:val="00C52A78"/>
    <w:rsid w:val="00C53ED5"/>
    <w:rsid w:val="00C5612B"/>
    <w:rsid w:val="00C6212D"/>
    <w:rsid w:val="00C6365E"/>
    <w:rsid w:val="00C6588D"/>
    <w:rsid w:val="00C66075"/>
    <w:rsid w:val="00C7546D"/>
    <w:rsid w:val="00C82191"/>
    <w:rsid w:val="00C94650"/>
    <w:rsid w:val="00C94F6A"/>
    <w:rsid w:val="00CA5793"/>
    <w:rsid w:val="00CC19E5"/>
    <w:rsid w:val="00CE19DC"/>
    <w:rsid w:val="00CF18FD"/>
    <w:rsid w:val="00CF6DAA"/>
    <w:rsid w:val="00D003AF"/>
    <w:rsid w:val="00D12389"/>
    <w:rsid w:val="00D13207"/>
    <w:rsid w:val="00D1665E"/>
    <w:rsid w:val="00D2747D"/>
    <w:rsid w:val="00D3386F"/>
    <w:rsid w:val="00D35D59"/>
    <w:rsid w:val="00D45E03"/>
    <w:rsid w:val="00D53AF0"/>
    <w:rsid w:val="00D55CC5"/>
    <w:rsid w:val="00D56276"/>
    <w:rsid w:val="00D6081C"/>
    <w:rsid w:val="00D70692"/>
    <w:rsid w:val="00D70BCB"/>
    <w:rsid w:val="00D77C5C"/>
    <w:rsid w:val="00D77E8D"/>
    <w:rsid w:val="00D975BD"/>
    <w:rsid w:val="00DA2ECF"/>
    <w:rsid w:val="00DA64D5"/>
    <w:rsid w:val="00DA7845"/>
    <w:rsid w:val="00DB4E0D"/>
    <w:rsid w:val="00DB5643"/>
    <w:rsid w:val="00DD1D69"/>
    <w:rsid w:val="00DD400D"/>
    <w:rsid w:val="00DD71E5"/>
    <w:rsid w:val="00DE0A43"/>
    <w:rsid w:val="00DE2443"/>
    <w:rsid w:val="00DE27A7"/>
    <w:rsid w:val="00DE36B4"/>
    <w:rsid w:val="00DE3EDE"/>
    <w:rsid w:val="00DF3E32"/>
    <w:rsid w:val="00DF4786"/>
    <w:rsid w:val="00E061F6"/>
    <w:rsid w:val="00E1338B"/>
    <w:rsid w:val="00E152C9"/>
    <w:rsid w:val="00E32E42"/>
    <w:rsid w:val="00E33957"/>
    <w:rsid w:val="00E457B3"/>
    <w:rsid w:val="00E47B02"/>
    <w:rsid w:val="00E532F0"/>
    <w:rsid w:val="00E568C9"/>
    <w:rsid w:val="00E64C65"/>
    <w:rsid w:val="00E7011F"/>
    <w:rsid w:val="00E72D4D"/>
    <w:rsid w:val="00E808A8"/>
    <w:rsid w:val="00E83156"/>
    <w:rsid w:val="00E945B1"/>
    <w:rsid w:val="00EA0957"/>
    <w:rsid w:val="00EA3141"/>
    <w:rsid w:val="00EB0B68"/>
    <w:rsid w:val="00EB1668"/>
    <w:rsid w:val="00EB2C2E"/>
    <w:rsid w:val="00EB38E9"/>
    <w:rsid w:val="00EB5749"/>
    <w:rsid w:val="00EC6EBF"/>
    <w:rsid w:val="00ED67C1"/>
    <w:rsid w:val="00EE3631"/>
    <w:rsid w:val="00EF6DE4"/>
    <w:rsid w:val="00F0098D"/>
    <w:rsid w:val="00F1455D"/>
    <w:rsid w:val="00F16E0A"/>
    <w:rsid w:val="00F20531"/>
    <w:rsid w:val="00F24591"/>
    <w:rsid w:val="00F2712E"/>
    <w:rsid w:val="00F34E57"/>
    <w:rsid w:val="00F41519"/>
    <w:rsid w:val="00F53A2D"/>
    <w:rsid w:val="00F55426"/>
    <w:rsid w:val="00F61E2F"/>
    <w:rsid w:val="00F627A6"/>
    <w:rsid w:val="00F663FC"/>
    <w:rsid w:val="00F76EAC"/>
    <w:rsid w:val="00F77C3A"/>
    <w:rsid w:val="00F8234B"/>
    <w:rsid w:val="00F83FEE"/>
    <w:rsid w:val="00FA61CA"/>
    <w:rsid w:val="00FC7652"/>
    <w:rsid w:val="00FD62E5"/>
    <w:rsid w:val="00FE1338"/>
    <w:rsid w:val="00FF727C"/>
    <w:rsid w:val="00FF73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74657"/>
  <w15:docId w15:val="{0B98DF42-DB89-44F6-BA38-003DB1B53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Normal">
    <w:name w:val="Normal"/>
    <w:qFormat/>
    <w:rsid w:val="00C6619F"/>
    <w:rPr>
      <w:rFonts w:ascii="Times New Roman" w:hAnsi="Times New Roman"/>
      <w:sz w:val="24"/>
      <w:szCs w:val="24"/>
    </w:rPr>
  </w:style>
  <w:style w:type="paragraph" w:styleId="Heading1">
    <w:name w:val="heading 1"/>
    <w:basedOn w:val="Normal"/>
    <w:next w:val="Normal"/>
    <w:link w:val="Heading1Char"/>
    <w:qFormat/>
    <w:locked/>
    <w:rsid w:val="008B0D92"/>
    <w:pPr>
      <w:keepNext/>
      <w:spacing w:line="276" w:lineRule="auto"/>
      <w:outlineLvl w:val="0"/>
    </w:pPr>
    <w:rPr>
      <w:rFonts w:ascii="Arial" w:hAnsi="Arial" w:cs="Arial"/>
      <w:sz w:val="22"/>
      <w:szCs w:val="22"/>
      <w:u w:val="single"/>
    </w:rPr>
  </w:style>
  <w:style w:type="paragraph" w:styleId="Heading2">
    <w:name w:val="heading 2"/>
    <w:basedOn w:val="Normal"/>
    <w:next w:val="Normal"/>
    <w:link w:val="Heading2Char"/>
    <w:unhideWhenUsed/>
    <w:qFormat/>
    <w:locked/>
    <w:rsid w:val="00E808A8"/>
    <w:pPr>
      <w:keepNext/>
      <w:spacing w:line="276" w:lineRule="auto"/>
      <w:jc w:val="both"/>
      <w:outlineLvl w:val="1"/>
    </w:pPr>
    <w:rPr>
      <w:rFonts w:ascii="Arial" w:hAnsi="Arial" w:cs="Arial"/>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paragraph" w:styleId="NoSpacing">
    <w:name w:val="No Spacing"/>
    <w:uiPriority w:val="1"/>
    <w:qFormat/>
    <w:rsid w:val="00A53022"/>
    <w:rPr>
      <w:rFonts w:ascii="Times New Roman" w:hAnsi="Times New Roman"/>
      <w:sz w:val="24"/>
      <w:szCs w:val="24"/>
    </w:rPr>
  </w:style>
  <w:style w:type="paragraph" w:customStyle="1" w:styleId="DefaultText">
    <w:name w:val="Default Text"/>
    <w:basedOn w:val="Normal"/>
    <w:rsid w:val="00241DC7"/>
    <w:pPr>
      <w:overflowPunct w:val="0"/>
      <w:autoSpaceDE w:val="0"/>
      <w:autoSpaceDN w:val="0"/>
      <w:adjustRightInd w:val="0"/>
    </w:pPr>
    <w:rPr>
      <w:rFonts w:ascii="Arial" w:hAnsi="Arial"/>
      <w:szCs w:val="20"/>
      <w:lang w:val="en-US"/>
    </w:rPr>
  </w:style>
  <w:style w:type="character" w:styleId="FollowedHyperlink">
    <w:name w:val="FollowedHyperlink"/>
    <w:basedOn w:val="DefaultParagraphFont"/>
    <w:uiPriority w:val="99"/>
    <w:semiHidden/>
    <w:unhideWhenUsed/>
    <w:rsid w:val="00DD1D69"/>
    <w:rPr>
      <w:color w:val="954F72" w:themeColor="followedHyperlink"/>
      <w:u w:val="single"/>
    </w:rPr>
  </w:style>
  <w:style w:type="character" w:customStyle="1" w:styleId="Heading1Char">
    <w:name w:val="Heading 1 Char"/>
    <w:basedOn w:val="DefaultParagraphFont"/>
    <w:link w:val="Heading1"/>
    <w:rsid w:val="008B0D92"/>
    <w:rPr>
      <w:rFonts w:ascii="Arial" w:hAnsi="Arial" w:cs="Arial"/>
      <w:sz w:val="22"/>
      <w:szCs w:val="22"/>
      <w:u w:val="single"/>
    </w:rPr>
  </w:style>
  <w:style w:type="paragraph" w:styleId="BodyText">
    <w:name w:val="Body Text"/>
    <w:basedOn w:val="Normal"/>
    <w:link w:val="BodyTextChar"/>
    <w:uiPriority w:val="99"/>
    <w:unhideWhenUsed/>
    <w:rsid w:val="00E808A8"/>
    <w:pPr>
      <w:spacing w:line="276" w:lineRule="auto"/>
    </w:pPr>
    <w:rPr>
      <w:rFonts w:ascii="Arial" w:hAnsi="Arial" w:cs="Arial"/>
      <w:sz w:val="22"/>
      <w:szCs w:val="22"/>
    </w:rPr>
  </w:style>
  <w:style w:type="character" w:customStyle="1" w:styleId="BodyTextChar">
    <w:name w:val="Body Text Char"/>
    <w:basedOn w:val="DefaultParagraphFont"/>
    <w:link w:val="BodyText"/>
    <w:uiPriority w:val="99"/>
    <w:rsid w:val="00E808A8"/>
    <w:rPr>
      <w:rFonts w:ascii="Arial" w:hAnsi="Arial" w:cs="Arial"/>
      <w:sz w:val="22"/>
      <w:szCs w:val="22"/>
    </w:rPr>
  </w:style>
  <w:style w:type="character" w:customStyle="1" w:styleId="Heading2Char">
    <w:name w:val="Heading 2 Char"/>
    <w:basedOn w:val="DefaultParagraphFont"/>
    <w:link w:val="Heading2"/>
    <w:rsid w:val="00E808A8"/>
    <w:rPr>
      <w:rFonts w:ascii="Arial" w:hAnsi="Arial" w:cs="Arial"/>
      <w:sz w:val="22"/>
      <w:szCs w:val="22"/>
      <w:u w:val="single"/>
    </w:rPr>
  </w:style>
  <w:style w:type="paragraph" w:styleId="BodyText2">
    <w:name w:val="Body Text 2"/>
    <w:basedOn w:val="Normal"/>
    <w:link w:val="BodyText2Char"/>
    <w:uiPriority w:val="99"/>
    <w:unhideWhenUsed/>
    <w:rsid w:val="00F2712E"/>
    <w:pPr>
      <w:spacing w:line="276" w:lineRule="auto"/>
      <w:jc w:val="both"/>
    </w:pPr>
    <w:rPr>
      <w:rFonts w:ascii="Arial" w:hAnsi="Arial" w:cs="Arial"/>
      <w:sz w:val="22"/>
      <w:szCs w:val="22"/>
    </w:rPr>
  </w:style>
  <w:style w:type="character" w:customStyle="1" w:styleId="BodyText2Char">
    <w:name w:val="Body Text 2 Char"/>
    <w:basedOn w:val="DefaultParagraphFont"/>
    <w:link w:val="BodyText2"/>
    <w:uiPriority w:val="99"/>
    <w:rsid w:val="00F2712E"/>
    <w:rPr>
      <w:rFonts w:ascii="Arial" w:hAnsi="Arial" w:cs="Arial"/>
      <w:sz w:val="22"/>
      <w:szCs w:val="22"/>
    </w:rPr>
  </w:style>
  <w:style w:type="character" w:customStyle="1" w:styleId="markedcontent">
    <w:name w:val="markedcontent"/>
    <w:basedOn w:val="DefaultParagraphFont"/>
    <w:rsid w:val="002B53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00722">
      <w:bodyDiv w:val="1"/>
      <w:marLeft w:val="0"/>
      <w:marRight w:val="0"/>
      <w:marTop w:val="0"/>
      <w:marBottom w:val="0"/>
      <w:divBdr>
        <w:top w:val="none" w:sz="0" w:space="0" w:color="auto"/>
        <w:left w:val="none" w:sz="0" w:space="0" w:color="auto"/>
        <w:bottom w:val="none" w:sz="0" w:space="0" w:color="auto"/>
        <w:right w:val="none" w:sz="0" w:space="0" w:color="auto"/>
      </w:divBdr>
    </w:div>
    <w:div w:id="372191457">
      <w:bodyDiv w:val="1"/>
      <w:marLeft w:val="0"/>
      <w:marRight w:val="0"/>
      <w:marTop w:val="0"/>
      <w:marBottom w:val="0"/>
      <w:divBdr>
        <w:top w:val="none" w:sz="0" w:space="0" w:color="auto"/>
        <w:left w:val="none" w:sz="0" w:space="0" w:color="auto"/>
        <w:bottom w:val="none" w:sz="0" w:space="0" w:color="auto"/>
        <w:right w:val="none" w:sz="0" w:space="0" w:color="auto"/>
      </w:divBdr>
    </w:div>
    <w:div w:id="1482575618">
      <w:bodyDiv w:val="1"/>
      <w:marLeft w:val="0"/>
      <w:marRight w:val="0"/>
      <w:marTop w:val="0"/>
      <w:marBottom w:val="0"/>
      <w:divBdr>
        <w:top w:val="none" w:sz="0" w:space="0" w:color="auto"/>
        <w:left w:val="none" w:sz="0" w:space="0" w:color="auto"/>
        <w:bottom w:val="none" w:sz="0" w:space="0" w:color="auto"/>
        <w:right w:val="none" w:sz="0" w:space="0" w:color="auto"/>
      </w:divBdr>
      <w:divsChild>
        <w:div w:id="2090804750">
          <w:marLeft w:val="0"/>
          <w:marRight w:val="0"/>
          <w:marTop w:val="150"/>
          <w:marBottom w:val="150"/>
          <w:divBdr>
            <w:top w:val="none" w:sz="0" w:space="0" w:color="auto"/>
            <w:left w:val="none" w:sz="0" w:space="0" w:color="auto"/>
            <w:bottom w:val="none" w:sz="0" w:space="0" w:color="auto"/>
            <w:right w:val="none" w:sz="0" w:space="0" w:color="auto"/>
          </w:divBdr>
          <w:divsChild>
            <w:div w:id="213086840">
              <w:marLeft w:val="0"/>
              <w:marRight w:val="0"/>
              <w:marTop w:val="0"/>
              <w:marBottom w:val="0"/>
              <w:divBdr>
                <w:top w:val="none" w:sz="0" w:space="0" w:color="auto"/>
                <w:left w:val="none" w:sz="0" w:space="0" w:color="auto"/>
                <w:bottom w:val="none" w:sz="0" w:space="0" w:color="auto"/>
                <w:right w:val="none" w:sz="0" w:space="0" w:color="auto"/>
              </w:divBdr>
            </w:div>
          </w:divsChild>
        </w:div>
        <w:div w:id="148983642">
          <w:marLeft w:val="0"/>
          <w:marRight w:val="0"/>
          <w:marTop w:val="150"/>
          <w:marBottom w:val="150"/>
          <w:divBdr>
            <w:top w:val="none" w:sz="0" w:space="0" w:color="auto"/>
            <w:left w:val="none" w:sz="0" w:space="0" w:color="auto"/>
            <w:bottom w:val="none" w:sz="0" w:space="0" w:color="auto"/>
            <w:right w:val="none" w:sz="0" w:space="0" w:color="auto"/>
          </w:divBdr>
          <w:divsChild>
            <w:div w:id="198561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astleigh.gov.uk/planning-and-building/nutrient-offset-schem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fb682a-dd2a-434e-b1c0-26901c6e3ea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A24C4ACA4BD64F94D553868544A808" ma:contentTypeVersion="16" ma:contentTypeDescription="Create a new document." ma:contentTypeScope="" ma:versionID="befbb30d32b6f743859e651079eac0bc">
  <xsd:schema xmlns:xsd="http://www.w3.org/2001/XMLSchema" xmlns:xs="http://www.w3.org/2001/XMLSchema" xmlns:p="http://schemas.microsoft.com/office/2006/metadata/properties" xmlns:ns2="61fb682a-dd2a-434e-b1c0-26901c6e3ea7" xmlns:ns3="d644cbf3-b799-4cba-9f01-d9ee5dc86fe7" targetNamespace="http://schemas.microsoft.com/office/2006/metadata/properties" ma:root="true" ma:fieldsID="5e9dcfa2fde652f6da2422f6bc61b9cb" ns2:_="" ns3:_="">
    <xsd:import namespace="61fb682a-dd2a-434e-b1c0-26901c6e3ea7"/>
    <xsd:import namespace="d644cbf3-b799-4cba-9f01-d9ee5dc86f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fb682a-dd2a-434e-b1c0-26901c6e3e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44cbf3-b799-4cba-9f01-d9ee5dc86fe7"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5F214E-ACF7-43AE-A2A4-B8E73FB7BF91}">
  <ds:schemaRefs>
    <ds:schemaRef ds:uri="http://schemas.microsoft.com/office/2006/metadata/properties"/>
    <ds:schemaRef ds:uri="http://schemas.microsoft.com/office/infopath/2007/PartnerControls"/>
    <ds:schemaRef ds:uri="61fb682a-dd2a-434e-b1c0-26901c6e3ea7"/>
  </ds:schemaRefs>
</ds:datastoreItem>
</file>

<file path=customXml/itemProps2.xml><?xml version="1.0" encoding="utf-8"?>
<ds:datastoreItem xmlns:ds="http://schemas.openxmlformats.org/officeDocument/2006/customXml" ds:itemID="{CBAA6088-4AC6-45DD-A84B-67797E1BF4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b682a-dd2a-434e-b1c0-26901c6e3ea7"/>
    <ds:schemaRef ds:uri="d644cbf3-b799-4cba-9f01-d9ee5dc86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3B61BC-7F17-4E2B-AFC8-4511CBC279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1416</Words>
  <Characters>8123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creator>David Hayward</dc:creator>
  <cp:lastModifiedBy>Martin, Clare</cp:lastModifiedBy>
  <cp:revision>10</cp:revision>
  <cp:lastPrinted>2018-06-13T11:32:00Z</cp:lastPrinted>
  <dcterms:created xsi:type="dcterms:W3CDTF">2024-12-04T14:49:00Z</dcterms:created>
  <dcterms:modified xsi:type="dcterms:W3CDTF">2024-12-04T15:05:00Z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0x01010013A24C4ACA4BD64F94D553868544A808</vt:lpwstr>
  </property>
</Properties>
</file>