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1FABC" w14:textId="77777777" w:rsidR="00CC6907" w:rsidRPr="003648A7" w:rsidRDefault="00CC6907" w:rsidP="00960C52">
      <w:pPr>
        <w:spacing w:line="276" w:lineRule="auto"/>
        <w:jc w:val="right"/>
        <w:rPr>
          <w:rFonts w:ascii="Arial" w:hAnsi="Arial" w:cs="Arial"/>
          <w:noProof/>
          <w:color w:val="404040"/>
          <w:sz w:val="22"/>
          <w:szCs w:val="22"/>
        </w:rPr>
      </w:pPr>
    </w:p>
    <w:p w14:paraId="053CDBBD" w14:textId="77777777" w:rsidR="00CC6907" w:rsidRPr="003648A7" w:rsidRDefault="00724EC7" w:rsidP="00491DBE">
      <w:pPr>
        <w:spacing w:line="276" w:lineRule="auto"/>
        <w:jc w:val="center"/>
        <w:rPr>
          <w:rFonts w:ascii="Arial" w:hAnsi="Arial" w:cs="Arial"/>
          <w:sz w:val="22"/>
          <w:szCs w:val="22"/>
        </w:rPr>
      </w:pPr>
      <w:r w:rsidRPr="003648A7">
        <w:rPr>
          <w:rFonts w:ascii="Arial" w:hAnsi="Arial" w:cs="Arial"/>
          <w:sz w:val="22"/>
          <w:szCs w:val="22"/>
        </w:rPr>
        <w:t xml:space="preserve">Habitat Regulation Assessment (HRA) </w:t>
      </w:r>
    </w:p>
    <w:p w14:paraId="0AC6822F" w14:textId="77777777" w:rsidR="00CC6907" w:rsidRPr="003648A7" w:rsidRDefault="00724EC7" w:rsidP="00491DBE">
      <w:pPr>
        <w:spacing w:line="276" w:lineRule="auto"/>
        <w:jc w:val="center"/>
        <w:rPr>
          <w:rFonts w:ascii="Arial" w:hAnsi="Arial" w:cs="Arial"/>
          <w:sz w:val="22"/>
          <w:szCs w:val="22"/>
        </w:rPr>
      </w:pPr>
      <w:r w:rsidRPr="003648A7">
        <w:rPr>
          <w:rFonts w:ascii="Arial" w:hAnsi="Arial" w:cs="Arial"/>
          <w:sz w:val="22"/>
          <w:szCs w:val="22"/>
        </w:rPr>
        <w:t>Screening Matrix and Appropriate Assessment Statement</w:t>
      </w:r>
    </w:p>
    <w:p w14:paraId="7C7CF21A" w14:textId="77777777" w:rsidR="00CC6907" w:rsidRPr="003648A7" w:rsidRDefault="00CC6907" w:rsidP="00491DBE">
      <w:pPr>
        <w:spacing w:line="276" w:lineRule="auto"/>
        <w:jc w:val="center"/>
        <w:rPr>
          <w:rFonts w:ascii="Arial" w:hAnsi="Arial" w:cs="Arial"/>
          <w:sz w:val="22"/>
          <w:szCs w:val="22"/>
        </w:rPr>
      </w:pPr>
    </w:p>
    <w:p w14:paraId="6060D604" w14:textId="77777777" w:rsidR="00CC6907" w:rsidRPr="003648A7" w:rsidRDefault="00724EC7" w:rsidP="00491DBE">
      <w:pPr>
        <w:spacing w:line="276" w:lineRule="auto"/>
        <w:jc w:val="center"/>
        <w:rPr>
          <w:rFonts w:ascii="Arial" w:hAnsi="Arial" w:cs="Arial"/>
          <w:b/>
          <w:sz w:val="22"/>
          <w:szCs w:val="22"/>
        </w:rPr>
      </w:pPr>
      <w:r w:rsidRPr="003648A7">
        <w:rPr>
          <w:rFonts w:ascii="Arial" w:hAnsi="Arial" w:cs="Arial"/>
          <w:b/>
          <w:sz w:val="22"/>
          <w:szCs w:val="22"/>
        </w:rPr>
        <w:t>PLEASE NOTE:  Undertaking the HRA process is the responsibility of the decision maker as the Competent Authority for the purpose of the Habitats Regulations. However, it is the responsibility of the applicant to provide the Competent Authority with the information that they require for this purpose.</w:t>
      </w:r>
    </w:p>
    <w:p w14:paraId="7DFF39FB" w14:textId="77777777" w:rsidR="00CC6907" w:rsidRPr="003648A7" w:rsidRDefault="00CC6907" w:rsidP="00491DBE">
      <w:pPr>
        <w:spacing w:line="276" w:lineRule="auto"/>
        <w:jc w:val="center"/>
        <w:rPr>
          <w:rFonts w:ascii="Arial" w:hAnsi="Arial" w:cs="Arial"/>
          <w:b/>
          <w:color w:val="404040"/>
          <w:sz w:val="22"/>
          <w:szCs w:val="22"/>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353"/>
        <w:gridCol w:w="4788"/>
      </w:tblGrid>
      <w:tr w:rsidR="00BC10E0" w:rsidRPr="003648A7" w14:paraId="4E16E154" w14:textId="77777777" w:rsidTr="00376970">
        <w:tc>
          <w:tcPr>
            <w:tcW w:w="2467" w:type="dxa"/>
            <w:tcBorders>
              <w:top w:val="single" w:sz="12" w:space="0" w:color="0083BE"/>
              <w:bottom w:val="single" w:sz="4" w:space="0" w:color="0083BE"/>
            </w:tcBorders>
            <w:shd w:val="clear" w:color="auto" w:fill="A8D08D" w:themeFill="accent6" w:themeFillTint="99"/>
          </w:tcPr>
          <w:p w14:paraId="43604CEB" w14:textId="77777777" w:rsidR="00CC6907" w:rsidRPr="003648A7" w:rsidRDefault="00724EC7" w:rsidP="00E235BE">
            <w:pPr>
              <w:spacing w:line="276" w:lineRule="auto"/>
              <w:rPr>
                <w:rFonts w:ascii="Arial" w:hAnsi="Arial" w:cs="Arial"/>
                <w:color w:val="404040"/>
                <w:sz w:val="22"/>
                <w:szCs w:val="22"/>
              </w:rPr>
            </w:pPr>
            <w:r w:rsidRPr="003648A7">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60739B3A" w14:textId="0E483E18" w:rsidR="00CC6907" w:rsidRPr="003648A7" w:rsidRDefault="006A2739" w:rsidP="001B6156">
            <w:pPr>
              <w:spacing w:line="276" w:lineRule="auto"/>
              <w:rPr>
                <w:rFonts w:ascii="Arial" w:hAnsi="Arial" w:cs="Arial"/>
                <w:sz w:val="22"/>
                <w:szCs w:val="22"/>
              </w:rPr>
            </w:pPr>
            <w:r w:rsidRPr="003648A7">
              <w:rPr>
                <w:rFonts w:ascii="Arial" w:hAnsi="Arial" w:cs="Arial"/>
                <w:sz w:val="22"/>
                <w:szCs w:val="22"/>
              </w:rPr>
              <w:t>25/11/25</w:t>
            </w:r>
          </w:p>
        </w:tc>
      </w:tr>
      <w:tr w:rsidR="00BC10E0" w:rsidRPr="003648A7" w14:paraId="046B893B" w14:textId="77777777" w:rsidTr="00376970">
        <w:tc>
          <w:tcPr>
            <w:tcW w:w="2467" w:type="dxa"/>
            <w:tcBorders>
              <w:top w:val="single" w:sz="4" w:space="0" w:color="0083BE"/>
              <w:bottom w:val="single" w:sz="4" w:space="0" w:color="0083BE"/>
            </w:tcBorders>
            <w:shd w:val="clear" w:color="auto" w:fill="A8D08D" w:themeFill="accent6" w:themeFillTint="99"/>
          </w:tcPr>
          <w:p w14:paraId="5ECF2483" w14:textId="77777777" w:rsidR="00CC6907" w:rsidRPr="003648A7" w:rsidRDefault="00724EC7" w:rsidP="00E235BE">
            <w:pPr>
              <w:spacing w:line="276" w:lineRule="auto"/>
              <w:rPr>
                <w:rFonts w:ascii="Arial" w:hAnsi="Arial" w:cs="Arial"/>
                <w:color w:val="404040"/>
                <w:sz w:val="22"/>
                <w:szCs w:val="22"/>
              </w:rPr>
            </w:pPr>
            <w:r w:rsidRPr="003648A7">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4BB89CFE" w14:textId="6D1070E3" w:rsidR="00CC6907" w:rsidRPr="003648A7" w:rsidRDefault="006A2739" w:rsidP="00E235BE">
            <w:pPr>
              <w:spacing w:line="276" w:lineRule="auto"/>
              <w:rPr>
                <w:rFonts w:ascii="Arial" w:hAnsi="Arial" w:cs="Arial"/>
                <w:sz w:val="22"/>
                <w:szCs w:val="22"/>
              </w:rPr>
            </w:pPr>
            <w:r w:rsidRPr="003648A7">
              <w:rPr>
                <w:rFonts w:ascii="Arial" w:hAnsi="Arial" w:cs="Arial"/>
                <w:sz w:val="22"/>
                <w:szCs w:val="22"/>
              </w:rPr>
              <w:t>25/11/25</w:t>
            </w:r>
          </w:p>
        </w:tc>
      </w:tr>
      <w:tr w:rsidR="00BC10E0" w:rsidRPr="003648A7" w14:paraId="582EEF4A" w14:textId="77777777" w:rsidTr="00376970">
        <w:tc>
          <w:tcPr>
            <w:tcW w:w="2467" w:type="dxa"/>
            <w:tcBorders>
              <w:top w:val="single" w:sz="4" w:space="0" w:color="0083BE"/>
              <w:bottom w:val="single" w:sz="4" w:space="0" w:color="0083BE"/>
            </w:tcBorders>
            <w:shd w:val="clear" w:color="auto" w:fill="A8D08D" w:themeFill="accent6" w:themeFillTint="99"/>
          </w:tcPr>
          <w:p w14:paraId="2C7C3E74" w14:textId="77777777" w:rsidR="00CC6907" w:rsidRPr="003648A7" w:rsidRDefault="00724EC7" w:rsidP="00E235BE">
            <w:pPr>
              <w:spacing w:line="276" w:lineRule="auto"/>
              <w:rPr>
                <w:rFonts w:ascii="Arial" w:hAnsi="Arial" w:cs="Arial"/>
                <w:color w:val="404040"/>
                <w:sz w:val="22"/>
                <w:szCs w:val="22"/>
              </w:rPr>
            </w:pPr>
            <w:r w:rsidRPr="003648A7">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3574AD73" w14:textId="77777777" w:rsidR="00CC6907" w:rsidRPr="003648A7" w:rsidRDefault="00724EC7" w:rsidP="00FB79EB">
            <w:pPr>
              <w:spacing w:line="276" w:lineRule="auto"/>
              <w:rPr>
                <w:rFonts w:ascii="Arial" w:hAnsi="Arial" w:cs="Arial"/>
                <w:color w:val="000000"/>
                <w:sz w:val="22"/>
                <w:szCs w:val="22"/>
                <w:shd w:val="clear" w:color="auto" w:fill="FFFFFF"/>
              </w:rPr>
            </w:pPr>
            <w:r w:rsidRPr="003648A7">
              <w:rPr>
                <w:rFonts w:ascii="Arial" w:hAnsi="Arial" w:cs="Arial"/>
                <w:color w:val="404040"/>
                <w:sz w:val="22"/>
                <w:szCs w:val="22"/>
              </w:rPr>
              <w:t>O/24/98619</w:t>
            </w:r>
          </w:p>
        </w:tc>
      </w:tr>
      <w:tr w:rsidR="00BC10E0" w:rsidRPr="003648A7" w14:paraId="6B6C2682" w14:textId="77777777" w:rsidTr="00376970">
        <w:tc>
          <w:tcPr>
            <w:tcW w:w="2467" w:type="dxa"/>
            <w:tcBorders>
              <w:top w:val="single" w:sz="4" w:space="0" w:color="0083BE"/>
            </w:tcBorders>
            <w:shd w:val="clear" w:color="auto" w:fill="A8D08D" w:themeFill="accent6" w:themeFillTint="99"/>
          </w:tcPr>
          <w:p w14:paraId="1B9ED3E9" w14:textId="77777777" w:rsidR="00CC6907" w:rsidRPr="003648A7" w:rsidRDefault="00724EC7" w:rsidP="003D781A">
            <w:pPr>
              <w:spacing w:line="276" w:lineRule="auto"/>
              <w:rPr>
                <w:rFonts w:ascii="Arial" w:hAnsi="Arial" w:cs="Arial"/>
                <w:color w:val="404040"/>
                <w:sz w:val="22"/>
                <w:szCs w:val="22"/>
              </w:rPr>
            </w:pPr>
            <w:r w:rsidRPr="003648A7">
              <w:rPr>
                <w:rFonts w:ascii="Arial" w:hAnsi="Arial" w:cs="Arial"/>
                <w:color w:val="404040"/>
                <w:sz w:val="22"/>
                <w:szCs w:val="22"/>
              </w:rPr>
              <w:t>Application address:</w:t>
            </w:r>
          </w:p>
        </w:tc>
        <w:tc>
          <w:tcPr>
            <w:tcW w:w="7141" w:type="dxa"/>
            <w:gridSpan w:val="2"/>
            <w:tcBorders>
              <w:top w:val="single" w:sz="4" w:space="0" w:color="0083BE"/>
            </w:tcBorders>
          </w:tcPr>
          <w:p w14:paraId="373445F2" w14:textId="77777777" w:rsidR="00CC6907" w:rsidRPr="003648A7" w:rsidRDefault="00724EC7" w:rsidP="003D781A">
            <w:pPr>
              <w:spacing w:line="276" w:lineRule="auto"/>
              <w:rPr>
                <w:rFonts w:ascii="Arial" w:hAnsi="Arial" w:cs="Arial"/>
                <w:sz w:val="22"/>
                <w:szCs w:val="22"/>
              </w:rPr>
            </w:pPr>
            <w:r w:rsidRPr="003648A7">
              <w:rPr>
                <w:rFonts w:ascii="Arial" w:hAnsi="Arial" w:cs="Arial"/>
                <w:color w:val="000000"/>
                <w:sz w:val="22"/>
                <w:szCs w:val="22"/>
                <w:shd w:val="clear" w:color="auto" w:fill="FFFFFF"/>
              </w:rPr>
              <w:t>Land south of Mortimers Lane, Fair Oak</w:t>
            </w:r>
          </w:p>
        </w:tc>
      </w:tr>
      <w:tr w:rsidR="00BC10E0" w:rsidRPr="003648A7" w14:paraId="1E197711" w14:textId="77777777" w:rsidTr="00376970">
        <w:tc>
          <w:tcPr>
            <w:tcW w:w="2467" w:type="dxa"/>
            <w:shd w:val="clear" w:color="auto" w:fill="A8D08D" w:themeFill="accent6" w:themeFillTint="99"/>
          </w:tcPr>
          <w:p w14:paraId="2F0E4203" w14:textId="77777777" w:rsidR="00CC6907" w:rsidRPr="003648A7" w:rsidRDefault="00724EC7" w:rsidP="003D781A">
            <w:pPr>
              <w:spacing w:line="276" w:lineRule="auto"/>
              <w:rPr>
                <w:rFonts w:ascii="Arial" w:hAnsi="Arial" w:cs="Arial"/>
                <w:color w:val="404040"/>
                <w:sz w:val="22"/>
                <w:szCs w:val="22"/>
              </w:rPr>
            </w:pPr>
            <w:r w:rsidRPr="003648A7">
              <w:rPr>
                <w:rFonts w:ascii="Arial" w:hAnsi="Arial" w:cs="Arial"/>
                <w:color w:val="404040"/>
                <w:sz w:val="22"/>
                <w:szCs w:val="22"/>
              </w:rPr>
              <w:t>Application description:</w:t>
            </w:r>
          </w:p>
        </w:tc>
        <w:tc>
          <w:tcPr>
            <w:tcW w:w="7141" w:type="dxa"/>
            <w:gridSpan w:val="2"/>
          </w:tcPr>
          <w:p w14:paraId="51073F6F" w14:textId="77777777" w:rsidR="00CC6907" w:rsidRPr="003648A7" w:rsidRDefault="00724EC7" w:rsidP="003D781A">
            <w:pPr>
              <w:spacing w:line="276" w:lineRule="auto"/>
              <w:rPr>
                <w:rFonts w:ascii="Arial" w:hAnsi="Arial" w:cs="Arial"/>
                <w:sz w:val="22"/>
                <w:szCs w:val="22"/>
              </w:rPr>
            </w:pPr>
            <w:r w:rsidRPr="003648A7">
              <w:rPr>
                <w:rFonts w:ascii="Arial" w:hAnsi="Arial" w:cs="Arial"/>
                <w:color w:val="000000"/>
                <w:sz w:val="22"/>
                <w:szCs w:val="22"/>
                <w:shd w:val="clear" w:color="auto" w:fill="FFFFFF"/>
              </w:rPr>
              <w:t>Outline application with all matters reserved (apart from access) for the construction of up to 245 dwellings (Use Class C3) and up to 350sqm multi-functional building (Use Class E - commercial, business or service or Use Class F2 - Community), with associated open space and play area, landscaping, SuDS, infrastructure, mobility hub and vehicular access off Mortimers Lane.</w:t>
            </w:r>
          </w:p>
        </w:tc>
      </w:tr>
      <w:tr w:rsidR="00BC10E0" w:rsidRPr="003648A7" w14:paraId="42BAD81A" w14:textId="77777777" w:rsidTr="00376970">
        <w:tc>
          <w:tcPr>
            <w:tcW w:w="2467" w:type="dxa"/>
            <w:tcBorders>
              <w:bottom w:val="single" w:sz="4" w:space="0" w:color="0083BE"/>
            </w:tcBorders>
            <w:shd w:val="clear" w:color="auto" w:fill="A8D08D" w:themeFill="accent6" w:themeFillTint="99"/>
          </w:tcPr>
          <w:p w14:paraId="51F996AD" w14:textId="77777777" w:rsidR="00CC6907" w:rsidRPr="003648A7" w:rsidRDefault="00724EC7" w:rsidP="003D781A">
            <w:pPr>
              <w:spacing w:line="276" w:lineRule="auto"/>
              <w:rPr>
                <w:rFonts w:ascii="Arial" w:hAnsi="Arial" w:cs="Arial"/>
                <w:color w:val="404040"/>
                <w:sz w:val="22"/>
                <w:szCs w:val="22"/>
              </w:rPr>
            </w:pPr>
            <w:r w:rsidRPr="003648A7">
              <w:rPr>
                <w:rFonts w:ascii="Arial" w:hAnsi="Arial" w:cs="Arial"/>
                <w:color w:val="404040"/>
                <w:sz w:val="22"/>
                <w:szCs w:val="22"/>
              </w:rPr>
              <w:t>Lead Planning Officer:</w:t>
            </w:r>
          </w:p>
        </w:tc>
        <w:tc>
          <w:tcPr>
            <w:tcW w:w="7141" w:type="dxa"/>
            <w:gridSpan w:val="2"/>
            <w:tcBorders>
              <w:bottom w:val="single" w:sz="4" w:space="0" w:color="0083BE"/>
            </w:tcBorders>
          </w:tcPr>
          <w:p w14:paraId="6F1639F8" w14:textId="586E8C9B" w:rsidR="00CC6907" w:rsidRPr="003648A7" w:rsidRDefault="006A2739" w:rsidP="003D781A">
            <w:pPr>
              <w:spacing w:line="276" w:lineRule="auto"/>
              <w:rPr>
                <w:rFonts w:ascii="Arial" w:hAnsi="Arial" w:cs="Arial"/>
                <w:sz w:val="22"/>
                <w:szCs w:val="22"/>
              </w:rPr>
            </w:pPr>
            <w:r w:rsidRPr="003648A7">
              <w:rPr>
                <w:rFonts w:ascii="Arial" w:hAnsi="Arial" w:cs="Arial"/>
                <w:sz w:val="22"/>
                <w:szCs w:val="22"/>
              </w:rPr>
              <w:t>Nick Parker</w:t>
            </w:r>
          </w:p>
        </w:tc>
      </w:tr>
      <w:tr w:rsidR="00BC10E0" w:rsidRPr="003648A7" w14:paraId="6F934E82" w14:textId="77777777" w:rsidTr="00376970">
        <w:tc>
          <w:tcPr>
            <w:tcW w:w="2467" w:type="dxa"/>
            <w:tcBorders>
              <w:bottom w:val="single" w:sz="4" w:space="0" w:color="0083BE"/>
            </w:tcBorders>
            <w:shd w:val="clear" w:color="auto" w:fill="A8D08D" w:themeFill="accent6" w:themeFillTint="99"/>
          </w:tcPr>
          <w:p w14:paraId="150144C6" w14:textId="77777777" w:rsidR="00CC6907" w:rsidRPr="003648A7" w:rsidRDefault="00724EC7" w:rsidP="003D781A">
            <w:pPr>
              <w:spacing w:line="276" w:lineRule="auto"/>
              <w:rPr>
                <w:rFonts w:ascii="Arial" w:hAnsi="Arial" w:cs="Arial"/>
                <w:color w:val="404040"/>
                <w:sz w:val="22"/>
                <w:szCs w:val="22"/>
              </w:rPr>
            </w:pPr>
            <w:r w:rsidRPr="003648A7">
              <w:rPr>
                <w:rFonts w:ascii="Arial" w:hAnsi="Arial" w:cs="Arial"/>
                <w:color w:val="404040"/>
                <w:sz w:val="22"/>
                <w:szCs w:val="22"/>
              </w:rPr>
              <w:t>Case Officer:</w:t>
            </w:r>
          </w:p>
        </w:tc>
        <w:tc>
          <w:tcPr>
            <w:tcW w:w="7141" w:type="dxa"/>
            <w:gridSpan w:val="2"/>
            <w:tcBorders>
              <w:bottom w:val="single" w:sz="4" w:space="0" w:color="0083BE"/>
            </w:tcBorders>
          </w:tcPr>
          <w:p w14:paraId="6CB825E9" w14:textId="05B0E069" w:rsidR="00CC6907" w:rsidRPr="003648A7" w:rsidRDefault="006A2739" w:rsidP="003D781A">
            <w:pPr>
              <w:spacing w:line="276" w:lineRule="auto"/>
              <w:rPr>
                <w:rFonts w:ascii="Arial" w:hAnsi="Arial" w:cs="Arial"/>
                <w:sz w:val="22"/>
                <w:szCs w:val="22"/>
              </w:rPr>
            </w:pPr>
            <w:r w:rsidRPr="003648A7">
              <w:rPr>
                <w:rFonts w:ascii="Arial" w:hAnsi="Arial" w:cs="Arial"/>
                <w:sz w:val="22"/>
                <w:szCs w:val="22"/>
              </w:rPr>
              <w:t>Clare Martin</w:t>
            </w:r>
          </w:p>
        </w:tc>
      </w:tr>
      <w:tr w:rsidR="00BC10E0" w:rsidRPr="003648A7" w14:paraId="524B1EA9" w14:textId="77777777" w:rsidTr="00E235BE">
        <w:tc>
          <w:tcPr>
            <w:tcW w:w="9608" w:type="dxa"/>
            <w:gridSpan w:val="3"/>
            <w:tcBorders>
              <w:top w:val="single" w:sz="4" w:space="0" w:color="0083BE"/>
              <w:bottom w:val="single" w:sz="12" w:space="0" w:color="0083BE"/>
            </w:tcBorders>
            <w:shd w:val="clear" w:color="auto" w:fill="FFFFFF" w:themeFill="background1"/>
          </w:tcPr>
          <w:p w14:paraId="0137BC9A" w14:textId="77777777" w:rsidR="00CC6907" w:rsidRPr="003648A7" w:rsidRDefault="00724EC7" w:rsidP="003D781A">
            <w:pPr>
              <w:spacing w:line="276" w:lineRule="auto"/>
              <w:rPr>
                <w:rFonts w:ascii="Arial" w:hAnsi="Arial" w:cs="Arial"/>
                <w:sz w:val="22"/>
                <w:szCs w:val="22"/>
              </w:rPr>
            </w:pPr>
            <w:r w:rsidRPr="003648A7">
              <w:rPr>
                <w:rFonts w:ascii="Arial" w:hAnsi="Arial" w:cs="Arial"/>
                <w:sz w:val="22"/>
                <w:szCs w:val="22"/>
              </w:rPr>
              <w:t>Please note that all references in this assessment to the ‘Habitats Regulations’ refer to The Conservation of Habitats and Species Regulations 2017.</w:t>
            </w:r>
          </w:p>
        </w:tc>
      </w:tr>
      <w:tr w:rsidR="00BC10E0" w:rsidRPr="003648A7" w14:paraId="16F39FBD" w14:textId="77777777" w:rsidTr="00E235BE">
        <w:tc>
          <w:tcPr>
            <w:tcW w:w="9608" w:type="dxa"/>
            <w:gridSpan w:val="3"/>
            <w:tcBorders>
              <w:top w:val="single" w:sz="12" w:space="0" w:color="0083BE"/>
              <w:left w:val="nil"/>
              <w:bottom w:val="single" w:sz="12" w:space="0" w:color="0083BE"/>
              <w:right w:val="nil"/>
            </w:tcBorders>
          </w:tcPr>
          <w:p w14:paraId="26E41483" w14:textId="77777777" w:rsidR="00CC6907" w:rsidRPr="003648A7" w:rsidRDefault="00CC6907" w:rsidP="003D781A">
            <w:pPr>
              <w:spacing w:line="276" w:lineRule="auto"/>
              <w:rPr>
                <w:rFonts w:ascii="Arial" w:hAnsi="Arial" w:cs="Arial"/>
                <w:sz w:val="22"/>
                <w:szCs w:val="22"/>
              </w:rPr>
            </w:pPr>
          </w:p>
        </w:tc>
      </w:tr>
      <w:tr w:rsidR="00BC10E0" w:rsidRPr="003648A7" w14:paraId="1243187E" w14:textId="77777777" w:rsidTr="00376970">
        <w:tc>
          <w:tcPr>
            <w:tcW w:w="9608" w:type="dxa"/>
            <w:gridSpan w:val="3"/>
            <w:tcBorders>
              <w:top w:val="single" w:sz="12" w:space="0" w:color="0083BE"/>
            </w:tcBorders>
            <w:shd w:val="clear" w:color="auto" w:fill="70AD47" w:themeFill="accent6"/>
          </w:tcPr>
          <w:p w14:paraId="1B43C757" w14:textId="77777777" w:rsidR="00CC6907" w:rsidRPr="003648A7" w:rsidRDefault="00724EC7" w:rsidP="003D781A">
            <w:pPr>
              <w:spacing w:line="276" w:lineRule="auto"/>
              <w:rPr>
                <w:rFonts w:ascii="Arial" w:hAnsi="Arial" w:cs="Arial"/>
                <w:b/>
                <w:sz w:val="22"/>
                <w:szCs w:val="22"/>
              </w:rPr>
            </w:pPr>
            <w:r w:rsidRPr="003648A7">
              <w:rPr>
                <w:rFonts w:ascii="Arial" w:hAnsi="Arial" w:cs="Arial"/>
                <w:b/>
                <w:color w:val="FFFFFF"/>
                <w:sz w:val="22"/>
                <w:szCs w:val="22"/>
              </w:rPr>
              <w:t>Stage 1 - details of the plan or project</w:t>
            </w:r>
          </w:p>
        </w:tc>
      </w:tr>
      <w:tr w:rsidR="00BC10E0" w:rsidRPr="003648A7" w14:paraId="0764686C" w14:textId="77777777" w:rsidTr="00376970">
        <w:tc>
          <w:tcPr>
            <w:tcW w:w="4820" w:type="dxa"/>
            <w:gridSpan w:val="2"/>
            <w:shd w:val="clear" w:color="auto" w:fill="A8D08D" w:themeFill="accent6" w:themeFillTint="99"/>
          </w:tcPr>
          <w:p w14:paraId="330F62FB" w14:textId="77777777" w:rsidR="00CC6907" w:rsidRPr="003648A7" w:rsidRDefault="00724EC7" w:rsidP="003D781A">
            <w:pPr>
              <w:spacing w:line="276" w:lineRule="auto"/>
              <w:rPr>
                <w:rFonts w:ascii="Arial" w:hAnsi="Arial" w:cs="Arial"/>
                <w:color w:val="404040"/>
                <w:sz w:val="22"/>
                <w:szCs w:val="22"/>
              </w:rPr>
            </w:pPr>
            <w:r w:rsidRPr="003648A7">
              <w:rPr>
                <w:rFonts w:ascii="Arial" w:hAnsi="Arial" w:cs="Arial"/>
                <w:color w:val="404040"/>
                <w:sz w:val="22"/>
                <w:szCs w:val="22"/>
              </w:rPr>
              <w:t>European site potentially impacted by planning application, plan or project:</w:t>
            </w:r>
          </w:p>
        </w:tc>
        <w:tc>
          <w:tcPr>
            <w:tcW w:w="4788" w:type="dxa"/>
          </w:tcPr>
          <w:p w14:paraId="2AA570D7" w14:textId="77777777" w:rsidR="000B6995" w:rsidRPr="003648A7" w:rsidRDefault="00816815" w:rsidP="003D781A">
            <w:pPr>
              <w:pStyle w:val="ListParagraph"/>
              <w:numPr>
                <w:ilvl w:val="0"/>
                <w:numId w:val="4"/>
              </w:numPr>
              <w:spacing w:line="276" w:lineRule="auto"/>
              <w:jc w:val="both"/>
              <w:rPr>
                <w:rFonts w:ascii="Arial" w:hAnsi="Arial" w:cs="Arial"/>
                <w:sz w:val="22"/>
                <w:szCs w:val="22"/>
              </w:rPr>
            </w:pPr>
            <w:r w:rsidRPr="003648A7">
              <w:rPr>
                <w:rFonts w:ascii="Arial" w:hAnsi="Arial" w:cs="Arial"/>
                <w:sz w:val="22"/>
                <w:szCs w:val="22"/>
              </w:rPr>
              <w:t xml:space="preserve">River Itchen </w:t>
            </w:r>
            <w:r w:rsidR="000B6995" w:rsidRPr="003648A7">
              <w:rPr>
                <w:rFonts w:ascii="Arial" w:hAnsi="Arial" w:cs="Arial"/>
                <w:sz w:val="22"/>
                <w:szCs w:val="22"/>
              </w:rPr>
              <w:t>Special Area of Conservation (SAC)</w:t>
            </w:r>
          </w:p>
          <w:p w14:paraId="755C0F6A" w14:textId="77777777" w:rsidR="000B6995" w:rsidRPr="003648A7" w:rsidRDefault="00724EC7" w:rsidP="003D781A">
            <w:pPr>
              <w:pStyle w:val="ListParagraph"/>
              <w:numPr>
                <w:ilvl w:val="0"/>
                <w:numId w:val="4"/>
              </w:numPr>
              <w:spacing w:line="276" w:lineRule="auto"/>
              <w:jc w:val="both"/>
              <w:rPr>
                <w:rFonts w:ascii="Arial" w:hAnsi="Arial" w:cs="Arial"/>
                <w:sz w:val="22"/>
                <w:szCs w:val="22"/>
              </w:rPr>
            </w:pPr>
            <w:r w:rsidRPr="003648A7">
              <w:rPr>
                <w:rFonts w:ascii="Arial" w:hAnsi="Arial" w:cs="Arial"/>
                <w:sz w:val="22"/>
                <w:szCs w:val="22"/>
              </w:rPr>
              <w:t xml:space="preserve">Solent and Southampton Special Protection Area (SPA) </w:t>
            </w:r>
          </w:p>
          <w:p w14:paraId="7054FC6A" w14:textId="23635EC1" w:rsidR="00623DFE" w:rsidRPr="003648A7" w:rsidRDefault="00724EC7" w:rsidP="00623DFE">
            <w:pPr>
              <w:pStyle w:val="ListParagraph"/>
              <w:numPr>
                <w:ilvl w:val="0"/>
                <w:numId w:val="4"/>
              </w:numPr>
              <w:spacing w:line="276" w:lineRule="auto"/>
              <w:jc w:val="both"/>
              <w:rPr>
                <w:rFonts w:ascii="Arial" w:hAnsi="Arial" w:cs="Arial"/>
                <w:sz w:val="22"/>
                <w:szCs w:val="22"/>
              </w:rPr>
            </w:pPr>
            <w:r w:rsidRPr="003648A7">
              <w:rPr>
                <w:rFonts w:ascii="Arial" w:hAnsi="Arial" w:cs="Arial"/>
                <w:sz w:val="22"/>
                <w:szCs w:val="22"/>
              </w:rPr>
              <w:t xml:space="preserve">Ramsar site. Solent Maritime Special Area of Conservation (SAC). </w:t>
            </w:r>
          </w:p>
        </w:tc>
      </w:tr>
      <w:tr w:rsidR="00BC10E0" w:rsidRPr="003648A7" w14:paraId="12DFAE04" w14:textId="77777777" w:rsidTr="00376970">
        <w:tc>
          <w:tcPr>
            <w:tcW w:w="4820" w:type="dxa"/>
            <w:gridSpan w:val="2"/>
            <w:shd w:val="clear" w:color="auto" w:fill="A8D08D" w:themeFill="accent6" w:themeFillTint="99"/>
          </w:tcPr>
          <w:p w14:paraId="320698BA" w14:textId="77777777" w:rsidR="00CC6907" w:rsidRPr="003648A7" w:rsidRDefault="00724EC7" w:rsidP="003D781A">
            <w:pPr>
              <w:spacing w:line="276" w:lineRule="auto"/>
              <w:rPr>
                <w:rFonts w:ascii="Arial" w:hAnsi="Arial" w:cs="Arial"/>
                <w:color w:val="404040"/>
                <w:sz w:val="22"/>
                <w:szCs w:val="22"/>
              </w:rPr>
            </w:pPr>
            <w:r w:rsidRPr="003648A7">
              <w:rPr>
                <w:rFonts w:ascii="Arial" w:hAnsi="Arial" w:cs="Arial"/>
                <w:color w:val="404040"/>
                <w:sz w:val="22"/>
                <w:szCs w:val="22"/>
              </w:rPr>
              <w:t>Is the planning application directly connected with or necessary to the management of the site (if yes, Applicant should have provided details)?</w:t>
            </w:r>
          </w:p>
        </w:tc>
        <w:tc>
          <w:tcPr>
            <w:tcW w:w="4788" w:type="dxa"/>
          </w:tcPr>
          <w:p w14:paraId="421DF8D4" w14:textId="77777777" w:rsidR="00CC6907" w:rsidRPr="003648A7" w:rsidRDefault="00724EC7" w:rsidP="003D781A">
            <w:pPr>
              <w:spacing w:line="276" w:lineRule="auto"/>
              <w:jc w:val="both"/>
              <w:rPr>
                <w:rFonts w:ascii="Arial" w:hAnsi="Arial" w:cs="Arial"/>
                <w:sz w:val="22"/>
                <w:szCs w:val="22"/>
              </w:rPr>
            </w:pPr>
            <w:r w:rsidRPr="003648A7">
              <w:rPr>
                <w:rFonts w:ascii="Arial" w:hAnsi="Arial" w:cs="Arial"/>
                <w:sz w:val="22"/>
                <w:szCs w:val="22"/>
              </w:rPr>
              <w:t>No. The development consists of an increase in one residential dwelling, which is neither connected to nor necessary to the management of any European site.</w:t>
            </w:r>
          </w:p>
        </w:tc>
      </w:tr>
      <w:tr w:rsidR="00BC10E0" w:rsidRPr="003648A7" w14:paraId="10772148" w14:textId="77777777" w:rsidTr="00376970">
        <w:tc>
          <w:tcPr>
            <w:tcW w:w="4820" w:type="dxa"/>
            <w:gridSpan w:val="2"/>
            <w:tcBorders>
              <w:bottom w:val="single" w:sz="12" w:space="0" w:color="0083BE"/>
            </w:tcBorders>
            <w:shd w:val="clear" w:color="auto" w:fill="A8D08D" w:themeFill="accent6" w:themeFillTint="99"/>
          </w:tcPr>
          <w:p w14:paraId="2A23907E" w14:textId="77777777" w:rsidR="00CC6907" w:rsidRPr="003648A7" w:rsidRDefault="00724EC7" w:rsidP="003D781A">
            <w:pPr>
              <w:spacing w:line="276" w:lineRule="auto"/>
              <w:rPr>
                <w:rFonts w:ascii="Arial" w:hAnsi="Arial" w:cs="Arial"/>
                <w:color w:val="404040"/>
                <w:sz w:val="22"/>
                <w:szCs w:val="22"/>
              </w:rPr>
            </w:pPr>
            <w:r w:rsidRPr="003648A7">
              <w:rPr>
                <w:rFonts w:ascii="Arial" w:hAnsi="Arial" w:cs="Arial"/>
                <w:color w:val="404040"/>
                <w:sz w:val="22"/>
                <w:szCs w:val="22"/>
              </w:rPr>
              <w:t>Are there any other projects or plans that together with the planning application being assessed could affect the site (Applicant to provide details to allow an ‘in combination’ effect to be assessed)?</w:t>
            </w:r>
          </w:p>
        </w:tc>
        <w:tc>
          <w:tcPr>
            <w:tcW w:w="4788" w:type="dxa"/>
            <w:tcBorders>
              <w:bottom w:val="single" w:sz="12" w:space="0" w:color="0083BE"/>
            </w:tcBorders>
          </w:tcPr>
          <w:p w14:paraId="3D428861" w14:textId="77777777" w:rsidR="00D0526F" w:rsidRPr="003648A7" w:rsidRDefault="00724EC7" w:rsidP="003D781A">
            <w:pPr>
              <w:pStyle w:val="ListParagraph"/>
              <w:spacing w:line="276" w:lineRule="auto"/>
              <w:ind w:left="69"/>
              <w:jc w:val="both"/>
              <w:rPr>
                <w:rFonts w:ascii="Arial" w:hAnsi="Arial" w:cs="Arial"/>
                <w:sz w:val="22"/>
                <w:szCs w:val="22"/>
              </w:rPr>
            </w:pPr>
            <w:r w:rsidRPr="003648A7">
              <w:rPr>
                <w:rFonts w:ascii="Arial" w:hAnsi="Arial" w:cs="Arial"/>
                <w:sz w:val="22"/>
                <w:szCs w:val="22"/>
              </w:rPr>
              <w:t>Yes.</w:t>
            </w:r>
          </w:p>
          <w:p w14:paraId="365938EB" w14:textId="77777777" w:rsidR="00D0526F" w:rsidRPr="003648A7" w:rsidRDefault="00D0526F" w:rsidP="003D781A">
            <w:pPr>
              <w:pStyle w:val="ListParagraph"/>
              <w:spacing w:line="276" w:lineRule="auto"/>
              <w:ind w:left="69"/>
              <w:jc w:val="both"/>
              <w:rPr>
                <w:rFonts w:ascii="Arial" w:hAnsi="Arial" w:cs="Arial"/>
                <w:sz w:val="22"/>
                <w:szCs w:val="22"/>
              </w:rPr>
            </w:pPr>
          </w:p>
          <w:p w14:paraId="316AFEBA" w14:textId="2825B2C2" w:rsidR="00D0526F" w:rsidRPr="003648A7" w:rsidRDefault="00D0526F" w:rsidP="00D0526F">
            <w:pPr>
              <w:pStyle w:val="ListParagraph"/>
              <w:spacing w:line="276" w:lineRule="auto"/>
              <w:ind w:left="69"/>
              <w:jc w:val="both"/>
              <w:rPr>
                <w:rFonts w:ascii="Arial" w:hAnsi="Arial" w:cs="Arial"/>
                <w:sz w:val="22"/>
                <w:szCs w:val="22"/>
              </w:rPr>
            </w:pPr>
            <w:r w:rsidRPr="003648A7">
              <w:rPr>
                <w:rFonts w:ascii="Arial" w:hAnsi="Arial" w:cs="Arial"/>
                <w:sz w:val="22"/>
                <w:szCs w:val="22"/>
              </w:rPr>
              <w:t>There have been other recent applications permitted in the locality. All schemes have mitigation measures secured to protect the integrity of the protected areas, and with these mitigation measures in place for all approved schemes, there is not considered to be any likely significant in-combination impact.</w:t>
            </w:r>
          </w:p>
          <w:p w14:paraId="25783ADE" w14:textId="29F17438" w:rsidR="00CC6907" w:rsidRPr="003648A7" w:rsidRDefault="00CC6907" w:rsidP="003D781A">
            <w:pPr>
              <w:pStyle w:val="ListParagraph"/>
              <w:spacing w:line="276" w:lineRule="auto"/>
              <w:ind w:left="69"/>
              <w:jc w:val="both"/>
              <w:rPr>
                <w:rFonts w:ascii="Arial" w:hAnsi="Arial" w:cs="Arial"/>
                <w:sz w:val="22"/>
                <w:szCs w:val="22"/>
              </w:rPr>
            </w:pPr>
          </w:p>
        </w:tc>
      </w:tr>
      <w:tr w:rsidR="00BC10E0" w:rsidRPr="003648A7" w14:paraId="6EA2F036" w14:textId="77777777" w:rsidTr="00E235BE">
        <w:tc>
          <w:tcPr>
            <w:tcW w:w="9608" w:type="dxa"/>
            <w:gridSpan w:val="3"/>
            <w:tcBorders>
              <w:top w:val="single" w:sz="12" w:space="0" w:color="0083BE"/>
              <w:left w:val="nil"/>
              <w:bottom w:val="single" w:sz="12" w:space="0" w:color="0083BE"/>
              <w:right w:val="nil"/>
            </w:tcBorders>
          </w:tcPr>
          <w:p w14:paraId="45447756" w14:textId="77777777" w:rsidR="00CC6907" w:rsidRPr="003648A7" w:rsidRDefault="00CC6907" w:rsidP="003D781A">
            <w:pPr>
              <w:spacing w:line="276" w:lineRule="auto"/>
              <w:rPr>
                <w:rFonts w:ascii="Arial" w:hAnsi="Arial" w:cs="Arial"/>
                <w:sz w:val="22"/>
                <w:szCs w:val="22"/>
              </w:rPr>
            </w:pPr>
          </w:p>
        </w:tc>
      </w:tr>
      <w:tr w:rsidR="00BC10E0" w:rsidRPr="003648A7" w14:paraId="4ABA67EB" w14:textId="77777777" w:rsidTr="00376970">
        <w:tc>
          <w:tcPr>
            <w:tcW w:w="9608" w:type="dxa"/>
            <w:gridSpan w:val="3"/>
            <w:tcBorders>
              <w:top w:val="single" w:sz="12" w:space="0" w:color="0083BE"/>
            </w:tcBorders>
            <w:shd w:val="clear" w:color="auto" w:fill="70AD47" w:themeFill="accent6"/>
          </w:tcPr>
          <w:p w14:paraId="7BE63CE0" w14:textId="77777777" w:rsidR="00CC6907" w:rsidRPr="003648A7" w:rsidRDefault="00724EC7" w:rsidP="003D781A">
            <w:pPr>
              <w:spacing w:line="276" w:lineRule="auto"/>
              <w:rPr>
                <w:rFonts w:ascii="Arial" w:hAnsi="Arial" w:cs="Arial"/>
                <w:b/>
                <w:sz w:val="22"/>
                <w:szCs w:val="22"/>
              </w:rPr>
            </w:pPr>
            <w:r w:rsidRPr="003648A7">
              <w:rPr>
                <w:rFonts w:ascii="Arial" w:hAnsi="Arial" w:cs="Arial"/>
                <w:b/>
                <w:color w:val="FFFFFF"/>
                <w:sz w:val="22"/>
                <w:szCs w:val="22"/>
              </w:rPr>
              <w:lastRenderedPageBreak/>
              <w:t>Stage 2 - HRA screening assessment</w:t>
            </w:r>
          </w:p>
        </w:tc>
      </w:tr>
      <w:tr w:rsidR="00BC10E0" w:rsidRPr="003648A7" w14:paraId="40A23EDC" w14:textId="77777777" w:rsidTr="00376970">
        <w:tc>
          <w:tcPr>
            <w:tcW w:w="9608" w:type="dxa"/>
            <w:gridSpan w:val="3"/>
            <w:shd w:val="clear" w:color="auto" w:fill="A8D08D" w:themeFill="accent6" w:themeFillTint="99"/>
          </w:tcPr>
          <w:p w14:paraId="6C3176AA" w14:textId="77777777" w:rsidR="00CC6907" w:rsidRPr="003648A7" w:rsidRDefault="00724EC7" w:rsidP="003D781A">
            <w:pPr>
              <w:spacing w:line="276" w:lineRule="auto"/>
              <w:rPr>
                <w:rFonts w:ascii="Arial" w:hAnsi="Arial" w:cs="Arial"/>
                <w:sz w:val="22"/>
                <w:szCs w:val="22"/>
              </w:rPr>
            </w:pPr>
            <w:r w:rsidRPr="003648A7">
              <w:rPr>
                <w:rFonts w:ascii="Arial" w:hAnsi="Arial" w:cs="Arial"/>
                <w:sz w:val="22"/>
                <w:szCs w:val="22"/>
              </w:rPr>
              <w:t>Screening under Regulation 63(1)(a) of the Habitats Regulations – The Applicant to provide evidence so that a judgement can be made as to whether there could be any potential significant impacts of the development on the integrity of the SPA/SAC/Ramsar.</w:t>
            </w:r>
          </w:p>
        </w:tc>
      </w:tr>
      <w:tr w:rsidR="00BC10E0" w:rsidRPr="003648A7" w14:paraId="472F0815" w14:textId="77777777" w:rsidTr="00E235BE">
        <w:tc>
          <w:tcPr>
            <w:tcW w:w="9608" w:type="dxa"/>
            <w:gridSpan w:val="3"/>
          </w:tcPr>
          <w:p w14:paraId="40BBC6C1" w14:textId="77777777" w:rsidR="0083499A" w:rsidRPr="003648A7" w:rsidRDefault="0083499A" w:rsidP="003D781A">
            <w:pPr>
              <w:spacing w:line="276" w:lineRule="auto"/>
              <w:jc w:val="both"/>
              <w:rPr>
                <w:rFonts w:ascii="Arial" w:hAnsi="Arial" w:cs="Arial"/>
                <w:sz w:val="22"/>
                <w:szCs w:val="22"/>
              </w:rPr>
            </w:pPr>
            <w:r w:rsidRPr="003648A7">
              <w:rPr>
                <w:rFonts w:ascii="Arial" w:hAnsi="Arial" w:cs="Arial"/>
                <w:sz w:val="22"/>
                <w:szCs w:val="22"/>
                <w:u w:val="single"/>
              </w:rPr>
              <w:t>Nutrient neutrality:</w:t>
            </w:r>
            <w:r w:rsidRPr="003648A7">
              <w:rPr>
                <w:rFonts w:ascii="Arial" w:hAnsi="Arial" w:cs="Arial"/>
                <w:sz w:val="22"/>
                <w:szCs w:val="22"/>
              </w:rPr>
              <w:t xml:space="preserve"> </w:t>
            </w:r>
          </w:p>
          <w:p w14:paraId="5D85AECD" w14:textId="77777777" w:rsidR="0083499A" w:rsidRPr="003648A7" w:rsidRDefault="0083499A" w:rsidP="003D781A">
            <w:pPr>
              <w:spacing w:line="276" w:lineRule="auto"/>
              <w:jc w:val="both"/>
              <w:rPr>
                <w:rFonts w:ascii="Arial" w:hAnsi="Arial" w:cs="Arial"/>
                <w:sz w:val="22"/>
                <w:szCs w:val="22"/>
              </w:rPr>
            </w:pPr>
          </w:p>
          <w:p w14:paraId="138843EC" w14:textId="6886FD82" w:rsidR="00CC6907" w:rsidRPr="003648A7" w:rsidRDefault="0083499A" w:rsidP="003D781A">
            <w:pPr>
              <w:spacing w:line="276" w:lineRule="auto"/>
              <w:jc w:val="both"/>
              <w:rPr>
                <w:rFonts w:ascii="Arial" w:hAnsi="Arial" w:cs="Arial"/>
                <w:sz w:val="22"/>
                <w:szCs w:val="22"/>
              </w:rPr>
            </w:pPr>
            <w:r w:rsidRPr="003648A7">
              <w:rPr>
                <w:rFonts w:ascii="Arial" w:hAnsi="Arial" w:cs="Arial"/>
                <w:sz w:val="22"/>
                <w:szCs w:val="22"/>
              </w:rPr>
              <w:t xml:space="preserve">There is existing evidence of high levels of nutrient input into the Itchen and Solent complex and that these nutrients are causing eutrophication at these designated sites. Natural England has advised that the resulting effects arising from this eutrophication cause dense green mats of algae, which are impacting on the </w:t>
            </w:r>
            <w:r w:rsidR="00900BD8" w:rsidRPr="003648A7">
              <w:rPr>
                <w:rFonts w:ascii="Arial" w:hAnsi="Arial" w:cs="Arial"/>
                <w:sz w:val="22"/>
                <w:szCs w:val="22"/>
              </w:rPr>
              <w:t xml:space="preserve">Itchen’s and </w:t>
            </w:r>
            <w:r w:rsidRPr="003648A7">
              <w:rPr>
                <w:rFonts w:ascii="Arial" w:hAnsi="Arial" w:cs="Arial"/>
                <w:sz w:val="22"/>
                <w:szCs w:val="22"/>
              </w:rPr>
              <w:t xml:space="preserve">Solent’s protected habitats and bird species and that wastewater from residential development has been identified as contributing to these nutrient inputs. There is the potential for future housing developments across the Solent region to further exacerbate these impacts and thereby create a risk to the potential future conservation status of the </w:t>
            </w:r>
            <w:r w:rsidR="00900BD8" w:rsidRPr="003648A7">
              <w:rPr>
                <w:rFonts w:ascii="Arial" w:hAnsi="Arial" w:cs="Arial"/>
                <w:sz w:val="22"/>
                <w:szCs w:val="22"/>
              </w:rPr>
              <w:t xml:space="preserve">River Itchen and </w:t>
            </w:r>
            <w:r w:rsidRPr="003648A7">
              <w:rPr>
                <w:rFonts w:ascii="Arial" w:hAnsi="Arial" w:cs="Arial"/>
                <w:sz w:val="22"/>
                <w:szCs w:val="22"/>
              </w:rPr>
              <w:t>Solent Complex and the features for which it is designated, therefore acting against the stated conservation objectives of the European sites.</w:t>
            </w:r>
          </w:p>
          <w:p w14:paraId="04CECEBA" w14:textId="77777777" w:rsidR="0083499A" w:rsidRPr="003648A7" w:rsidRDefault="0083499A" w:rsidP="003D781A">
            <w:pPr>
              <w:spacing w:line="276" w:lineRule="auto"/>
              <w:jc w:val="both"/>
              <w:rPr>
                <w:rFonts w:ascii="Arial" w:hAnsi="Arial" w:cs="Arial"/>
                <w:sz w:val="22"/>
                <w:szCs w:val="22"/>
              </w:rPr>
            </w:pPr>
          </w:p>
          <w:p w14:paraId="70B7D42A" w14:textId="2D58C9EE" w:rsidR="003C55A4" w:rsidRPr="003648A7" w:rsidRDefault="003C55A4" w:rsidP="003D781A">
            <w:pPr>
              <w:spacing w:line="276" w:lineRule="auto"/>
              <w:jc w:val="both"/>
              <w:rPr>
                <w:rFonts w:ascii="Arial" w:hAnsi="Arial" w:cs="Arial"/>
                <w:sz w:val="22"/>
                <w:szCs w:val="22"/>
                <w:u w:val="single"/>
              </w:rPr>
            </w:pPr>
            <w:r w:rsidRPr="003648A7">
              <w:rPr>
                <w:rFonts w:ascii="Arial" w:hAnsi="Arial" w:cs="Arial"/>
                <w:sz w:val="22"/>
                <w:szCs w:val="22"/>
                <w:u w:val="single"/>
              </w:rPr>
              <w:t>Recreational Disturbance</w:t>
            </w:r>
          </w:p>
          <w:p w14:paraId="3D1056E8" w14:textId="003A04F7" w:rsidR="000C6B17" w:rsidRPr="003648A7" w:rsidRDefault="000C6B17" w:rsidP="003C55A4">
            <w:pPr>
              <w:pStyle w:val="ListParagraph"/>
              <w:numPr>
                <w:ilvl w:val="0"/>
                <w:numId w:val="5"/>
              </w:numPr>
              <w:spacing w:line="276" w:lineRule="auto"/>
              <w:jc w:val="both"/>
              <w:rPr>
                <w:rFonts w:ascii="Arial" w:hAnsi="Arial" w:cs="Arial"/>
                <w:sz w:val="22"/>
                <w:szCs w:val="22"/>
              </w:rPr>
            </w:pPr>
            <w:r w:rsidRPr="003648A7">
              <w:rPr>
                <w:rFonts w:ascii="Arial" w:hAnsi="Arial" w:cs="Arial"/>
                <w:sz w:val="22"/>
                <w:szCs w:val="22"/>
              </w:rPr>
              <w:t xml:space="preserve">The site is not within the </w:t>
            </w:r>
            <w:r w:rsidR="003C55A4" w:rsidRPr="003648A7">
              <w:rPr>
                <w:rFonts w:ascii="Arial" w:hAnsi="Arial" w:cs="Arial"/>
                <w:sz w:val="22"/>
                <w:szCs w:val="22"/>
              </w:rPr>
              <w:t>13.8km catchment area of the New Forest SPA</w:t>
            </w:r>
          </w:p>
          <w:p w14:paraId="49073336" w14:textId="1352EE01" w:rsidR="003C55A4" w:rsidRPr="003648A7" w:rsidRDefault="003C55A4" w:rsidP="003C55A4">
            <w:pPr>
              <w:pStyle w:val="ListParagraph"/>
              <w:numPr>
                <w:ilvl w:val="0"/>
                <w:numId w:val="5"/>
              </w:numPr>
              <w:spacing w:line="276" w:lineRule="auto"/>
              <w:jc w:val="both"/>
              <w:rPr>
                <w:rFonts w:ascii="Arial" w:hAnsi="Arial" w:cs="Arial"/>
                <w:sz w:val="22"/>
                <w:szCs w:val="22"/>
              </w:rPr>
            </w:pPr>
            <w:r w:rsidRPr="003648A7">
              <w:rPr>
                <w:rFonts w:ascii="Arial" w:hAnsi="Arial" w:cs="Arial"/>
                <w:sz w:val="22"/>
                <w:szCs w:val="22"/>
              </w:rPr>
              <w:t xml:space="preserve">The site is not within the </w:t>
            </w:r>
            <w:r w:rsidR="004709A7" w:rsidRPr="003648A7">
              <w:rPr>
                <w:rFonts w:ascii="Arial" w:hAnsi="Arial" w:cs="Arial"/>
                <w:sz w:val="22"/>
                <w:szCs w:val="22"/>
              </w:rPr>
              <w:t xml:space="preserve">5.6km catchment area for the Solent </w:t>
            </w:r>
            <w:r w:rsidR="00664DEF" w:rsidRPr="003648A7">
              <w:rPr>
                <w:rFonts w:ascii="Arial" w:hAnsi="Arial" w:cs="Arial"/>
                <w:sz w:val="22"/>
                <w:szCs w:val="22"/>
              </w:rPr>
              <w:t>protected sites.</w:t>
            </w:r>
          </w:p>
          <w:p w14:paraId="38D87AC9" w14:textId="77777777" w:rsidR="000C6B17" w:rsidRPr="003648A7" w:rsidRDefault="000C6B17" w:rsidP="003D781A">
            <w:pPr>
              <w:spacing w:line="276" w:lineRule="auto"/>
              <w:jc w:val="both"/>
              <w:rPr>
                <w:rFonts w:ascii="Arial" w:hAnsi="Arial" w:cs="Arial"/>
                <w:sz w:val="22"/>
                <w:szCs w:val="22"/>
              </w:rPr>
            </w:pPr>
          </w:p>
          <w:p w14:paraId="6DA27E16" w14:textId="77777777" w:rsidR="00CC6907" w:rsidRPr="003648A7" w:rsidRDefault="00724EC7" w:rsidP="003D781A">
            <w:pPr>
              <w:spacing w:line="276" w:lineRule="auto"/>
              <w:jc w:val="both"/>
              <w:rPr>
                <w:rFonts w:ascii="Arial" w:hAnsi="Arial" w:cs="Arial"/>
                <w:b/>
                <w:sz w:val="22"/>
                <w:szCs w:val="22"/>
              </w:rPr>
            </w:pPr>
            <w:r w:rsidRPr="003648A7">
              <w:rPr>
                <w:rFonts w:ascii="Arial" w:hAnsi="Arial" w:cs="Arial"/>
                <w:b/>
                <w:sz w:val="22"/>
                <w:szCs w:val="22"/>
              </w:rPr>
              <w:t>Would the proposal lead to a likely significant effect on European site integrity? YES</w:t>
            </w:r>
          </w:p>
          <w:p w14:paraId="0DCC0B87" w14:textId="77777777" w:rsidR="00CC6907" w:rsidRPr="003648A7" w:rsidRDefault="00CC6907" w:rsidP="003D781A">
            <w:pPr>
              <w:spacing w:line="276" w:lineRule="auto"/>
              <w:jc w:val="both"/>
              <w:rPr>
                <w:rFonts w:ascii="Arial" w:hAnsi="Arial" w:cs="Arial"/>
                <w:sz w:val="22"/>
                <w:szCs w:val="22"/>
              </w:rPr>
            </w:pPr>
          </w:p>
          <w:p w14:paraId="67E3057E" w14:textId="77777777" w:rsidR="00CC6907" w:rsidRPr="003648A7" w:rsidRDefault="00724EC7" w:rsidP="003D781A">
            <w:pPr>
              <w:spacing w:line="276" w:lineRule="auto"/>
              <w:jc w:val="both"/>
              <w:rPr>
                <w:rFonts w:ascii="Arial" w:hAnsi="Arial" w:cs="Arial"/>
                <w:sz w:val="22"/>
                <w:szCs w:val="22"/>
              </w:rPr>
            </w:pPr>
            <w:r w:rsidRPr="003648A7">
              <w:rPr>
                <w:rFonts w:ascii="Arial" w:hAnsi="Arial" w:cs="Arial"/>
                <w:sz w:val="22"/>
                <w:szCs w:val="22"/>
              </w:rPr>
              <w:t>(If yes, continue to Stage 3).</w:t>
            </w:r>
          </w:p>
          <w:p w14:paraId="179B9851" w14:textId="77777777" w:rsidR="00CC6907" w:rsidRPr="003648A7" w:rsidRDefault="00CC6907" w:rsidP="003D781A">
            <w:pPr>
              <w:spacing w:line="276" w:lineRule="auto"/>
              <w:jc w:val="both"/>
              <w:rPr>
                <w:rFonts w:ascii="Arial" w:hAnsi="Arial" w:cs="Arial"/>
                <w:sz w:val="22"/>
                <w:szCs w:val="22"/>
              </w:rPr>
            </w:pPr>
          </w:p>
        </w:tc>
      </w:tr>
      <w:tr w:rsidR="00BC10E0" w:rsidRPr="003648A7" w14:paraId="66192731" w14:textId="77777777" w:rsidTr="00376970">
        <w:tc>
          <w:tcPr>
            <w:tcW w:w="9608" w:type="dxa"/>
            <w:gridSpan w:val="3"/>
            <w:tcBorders>
              <w:top w:val="single" w:sz="12" w:space="0" w:color="0083BE"/>
            </w:tcBorders>
            <w:shd w:val="clear" w:color="auto" w:fill="70AD47" w:themeFill="accent6"/>
          </w:tcPr>
          <w:p w14:paraId="7255F15B" w14:textId="77777777" w:rsidR="00CC6907" w:rsidRPr="003648A7" w:rsidRDefault="00724EC7" w:rsidP="003D781A">
            <w:pPr>
              <w:spacing w:line="276" w:lineRule="auto"/>
              <w:rPr>
                <w:rFonts w:ascii="Arial" w:hAnsi="Arial" w:cs="Arial"/>
                <w:b/>
                <w:sz w:val="22"/>
                <w:szCs w:val="22"/>
              </w:rPr>
            </w:pPr>
            <w:r w:rsidRPr="003648A7">
              <w:rPr>
                <w:rFonts w:ascii="Arial" w:hAnsi="Arial" w:cs="Arial"/>
                <w:b/>
                <w:color w:val="FFFFFF"/>
                <w:sz w:val="22"/>
                <w:szCs w:val="22"/>
              </w:rPr>
              <w:t>Stage 3 - Appropriate Assessment</w:t>
            </w:r>
          </w:p>
        </w:tc>
      </w:tr>
      <w:tr w:rsidR="00BC10E0" w:rsidRPr="003648A7" w14:paraId="49F79B73" w14:textId="77777777" w:rsidTr="00376970">
        <w:tc>
          <w:tcPr>
            <w:tcW w:w="9608" w:type="dxa"/>
            <w:gridSpan w:val="3"/>
            <w:shd w:val="clear" w:color="auto" w:fill="A8D08D" w:themeFill="accent6" w:themeFillTint="99"/>
          </w:tcPr>
          <w:p w14:paraId="6E017BCF" w14:textId="77777777" w:rsidR="00CC6907" w:rsidRPr="003648A7" w:rsidRDefault="00724EC7" w:rsidP="003D781A">
            <w:pPr>
              <w:spacing w:line="276" w:lineRule="auto"/>
              <w:rPr>
                <w:rFonts w:ascii="Arial" w:hAnsi="Arial" w:cs="Arial"/>
                <w:sz w:val="22"/>
                <w:szCs w:val="22"/>
              </w:rPr>
            </w:pPr>
            <w:r w:rsidRPr="003648A7">
              <w:rPr>
                <w:rFonts w:ascii="Arial" w:hAnsi="Arial" w:cs="Arial"/>
                <w:sz w:val="22"/>
                <w:szCs w:val="22"/>
              </w:rPr>
              <w:t xml:space="preserve">Appropriate Assessment under Regulation 63(1) - if there are any potential significant impacts, the applicant must provide evidence showing avoidance and/or mitigation measures to allow an Assessment to be made.  The Applicant must also provide details which demonstrate any </w:t>
            </w:r>
            <w:proofErr w:type="gramStart"/>
            <w:r w:rsidRPr="003648A7">
              <w:rPr>
                <w:rFonts w:ascii="Arial" w:hAnsi="Arial" w:cs="Arial"/>
                <w:sz w:val="22"/>
                <w:szCs w:val="22"/>
              </w:rPr>
              <w:t>long term</w:t>
            </w:r>
            <w:proofErr w:type="gramEnd"/>
            <w:r w:rsidRPr="003648A7">
              <w:rPr>
                <w:rFonts w:ascii="Arial" w:hAnsi="Arial" w:cs="Arial"/>
                <w:sz w:val="22"/>
                <w:szCs w:val="22"/>
              </w:rPr>
              <w:t xml:space="preserve"> management, maintenance and funding of any solution.</w:t>
            </w:r>
          </w:p>
        </w:tc>
      </w:tr>
      <w:tr w:rsidR="00BC10E0" w:rsidRPr="003648A7" w14:paraId="469BD632" w14:textId="77777777" w:rsidTr="00E235BE">
        <w:tc>
          <w:tcPr>
            <w:tcW w:w="9608" w:type="dxa"/>
            <w:gridSpan w:val="3"/>
          </w:tcPr>
          <w:p w14:paraId="73C83EE5" w14:textId="7485F8A6" w:rsidR="00CC6907" w:rsidRPr="003648A7" w:rsidRDefault="00F1505B" w:rsidP="003D781A">
            <w:pPr>
              <w:spacing w:line="276" w:lineRule="auto"/>
              <w:rPr>
                <w:rFonts w:ascii="Arial" w:hAnsi="Arial" w:cs="Arial"/>
                <w:sz w:val="22"/>
                <w:szCs w:val="22"/>
              </w:rPr>
            </w:pPr>
            <w:r w:rsidRPr="003648A7">
              <w:rPr>
                <w:rFonts w:ascii="Arial" w:hAnsi="Arial" w:cs="Arial"/>
                <w:sz w:val="22"/>
                <w:szCs w:val="22"/>
              </w:rPr>
              <w:t xml:space="preserve">The </w:t>
            </w:r>
            <w:r w:rsidR="00371F29" w:rsidRPr="003648A7">
              <w:rPr>
                <w:rFonts w:ascii="Arial" w:hAnsi="Arial" w:cs="Arial"/>
                <w:sz w:val="22"/>
                <w:szCs w:val="22"/>
              </w:rPr>
              <w:t>outline planning application</w:t>
            </w:r>
            <w:r w:rsidR="000B05FA" w:rsidRPr="003648A7">
              <w:rPr>
                <w:rFonts w:ascii="Arial" w:hAnsi="Arial" w:cs="Arial"/>
                <w:sz w:val="22"/>
                <w:szCs w:val="22"/>
              </w:rPr>
              <w:t xml:space="preserve"> </w:t>
            </w:r>
            <w:r w:rsidR="00FE4143" w:rsidRPr="003648A7">
              <w:rPr>
                <w:rFonts w:ascii="Arial" w:hAnsi="Arial" w:cs="Arial"/>
                <w:sz w:val="22"/>
                <w:szCs w:val="22"/>
              </w:rPr>
              <w:t xml:space="preserve">would result in the increase of </w:t>
            </w:r>
            <w:r w:rsidR="00371F29" w:rsidRPr="003648A7">
              <w:rPr>
                <w:rFonts w:ascii="Arial" w:hAnsi="Arial" w:cs="Arial"/>
                <w:sz w:val="22"/>
                <w:szCs w:val="22"/>
              </w:rPr>
              <w:t xml:space="preserve">up to </w:t>
            </w:r>
            <w:r w:rsidR="00FE4143" w:rsidRPr="003648A7">
              <w:rPr>
                <w:rFonts w:ascii="Arial" w:hAnsi="Arial" w:cs="Arial"/>
                <w:sz w:val="22"/>
                <w:szCs w:val="22"/>
              </w:rPr>
              <w:t>245 dwellings</w:t>
            </w:r>
            <w:r w:rsidR="00E718D4" w:rsidRPr="003648A7">
              <w:rPr>
                <w:rFonts w:ascii="Arial" w:hAnsi="Arial" w:cs="Arial"/>
                <w:sz w:val="22"/>
                <w:szCs w:val="22"/>
              </w:rPr>
              <w:t xml:space="preserve"> at the site</w:t>
            </w:r>
            <w:r w:rsidR="00371F29" w:rsidRPr="003648A7">
              <w:rPr>
                <w:rFonts w:ascii="Arial" w:hAnsi="Arial" w:cs="Arial"/>
                <w:sz w:val="22"/>
                <w:szCs w:val="22"/>
              </w:rPr>
              <w:t xml:space="preserve">. The </w:t>
            </w:r>
            <w:r w:rsidR="003125F5" w:rsidRPr="003648A7">
              <w:rPr>
                <w:rFonts w:ascii="Arial" w:hAnsi="Arial" w:cs="Arial"/>
                <w:sz w:val="22"/>
                <w:szCs w:val="22"/>
              </w:rPr>
              <w:t>development would be s</w:t>
            </w:r>
            <w:r w:rsidR="00E718D4" w:rsidRPr="003648A7">
              <w:rPr>
                <w:rFonts w:ascii="Arial" w:hAnsi="Arial" w:cs="Arial"/>
                <w:sz w:val="22"/>
                <w:szCs w:val="22"/>
              </w:rPr>
              <w:t xml:space="preserve">erved by the </w:t>
            </w:r>
            <w:proofErr w:type="spellStart"/>
            <w:r w:rsidR="00E718D4" w:rsidRPr="003648A7">
              <w:rPr>
                <w:rFonts w:ascii="Arial" w:hAnsi="Arial" w:cs="Arial"/>
                <w:sz w:val="22"/>
                <w:szCs w:val="22"/>
              </w:rPr>
              <w:t>Chickenhall</w:t>
            </w:r>
            <w:proofErr w:type="spellEnd"/>
            <w:r w:rsidR="00E718D4" w:rsidRPr="003648A7">
              <w:rPr>
                <w:rFonts w:ascii="Arial" w:hAnsi="Arial" w:cs="Arial"/>
                <w:sz w:val="22"/>
                <w:szCs w:val="22"/>
              </w:rPr>
              <w:t xml:space="preserve"> Lane </w:t>
            </w:r>
            <w:proofErr w:type="gramStart"/>
            <w:r w:rsidR="00E718D4" w:rsidRPr="003648A7">
              <w:rPr>
                <w:rFonts w:ascii="Arial" w:hAnsi="Arial" w:cs="Arial"/>
                <w:sz w:val="22"/>
                <w:szCs w:val="22"/>
              </w:rPr>
              <w:t>Waste Water</w:t>
            </w:r>
            <w:proofErr w:type="gramEnd"/>
            <w:r w:rsidR="00E718D4" w:rsidRPr="003648A7">
              <w:rPr>
                <w:rFonts w:ascii="Arial" w:hAnsi="Arial" w:cs="Arial"/>
                <w:sz w:val="22"/>
                <w:szCs w:val="22"/>
              </w:rPr>
              <w:t xml:space="preserve"> Treatment Works</w:t>
            </w:r>
            <w:r w:rsidR="003125F5" w:rsidRPr="003648A7">
              <w:rPr>
                <w:rFonts w:ascii="Arial" w:hAnsi="Arial" w:cs="Arial"/>
                <w:sz w:val="22"/>
                <w:szCs w:val="22"/>
              </w:rPr>
              <w:t xml:space="preserve">, which </w:t>
            </w:r>
            <w:r w:rsidR="00D357BC" w:rsidRPr="003648A7">
              <w:rPr>
                <w:rFonts w:ascii="Arial" w:hAnsi="Arial" w:cs="Arial"/>
                <w:sz w:val="22"/>
                <w:szCs w:val="22"/>
              </w:rPr>
              <w:t xml:space="preserve">ultimately feeds into the River Itchen and Solent Complex. </w:t>
            </w:r>
          </w:p>
          <w:p w14:paraId="2C0C0ED5" w14:textId="77777777" w:rsidR="00DA7949" w:rsidRPr="003648A7" w:rsidRDefault="00DA7949" w:rsidP="00D63DD3">
            <w:pPr>
              <w:spacing w:line="276" w:lineRule="auto"/>
              <w:rPr>
                <w:rFonts w:ascii="Arial" w:hAnsi="Arial" w:cs="Arial"/>
                <w:sz w:val="22"/>
                <w:szCs w:val="22"/>
              </w:rPr>
            </w:pPr>
          </w:p>
          <w:p w14:paraId="4E6F41BB" w14:textId="7AEB106F" w:rsidR="007226E6" w:rsidRPr="003648A7" w:rsidRDefault="0089498B" w:rsidP="0089498B">
            <w:pPr>
              <w:spacing w:line="276" w:lineRule="auto"/>
              <w:rPr>
                <w:rFonts w:ascii="Arial" w:hAnsi="Arial" w:cs="Arial"/>
                <w:sz w:val="22"/>
                <w:szCs w:val="22"/>
              </w:rPr>
            </w:pPr>
            <w:r w:rsidRPr="003648A7">
              <w:rPr>
                <w:rFonts w:ascii="Arial" w:hAnsi="Arial" w:cs="Arial"/>
                <w:sz w:val="22"/>
                <w:szCs w:val="22"/>
              </w:rPr>
              <w:t xml:space="preserve">A nutrient budget for the scheme has been produced </w:t>
            </w:r>
            <w:r w:rsidR="0081088D" w:rsidRPr="003648A7">
              <w:rPr>
                <w:rFonts w:ascii="Arial" w:hAnsi="Arial" w:cs="Arial"/>
                <w:sz w:val="22"/>
                <w:szCs w:val="22"/>
              </w:rPr>
              <w:t xml:space="preserve">with reference to </w:t>
            </w:r>
            <w:r w:rsidRPr="003648A7">
              <w:rPr>
                <w:rFonts w:ascii="Arial" w:hAnsi="Arial" w:cs="Arial"/>
                <w:sz w:val="22"/>
                <w:szCs w:val="22"/>
              </w:rPr>
              <w:t>Natural England’s published guidance</w:t>
            </w:r>
            <w:r w:rsidR="0081088D" w:rsidRPr="003648A7">
              <w:rPr>
                <w:rFonts w:ascii="Arial" w:hAnsi="Arial" w:cs="Arial"/>
                <w:sz w:val="22"/>
                <w:szCs w:val="22"/>
              </w:rPr>
              <w:t xml:space="preserve">. This </w:t>
            </w:r>
            <w:r w:rsidRPr="003648A7">
              <w:rPr>
                <w:rFonts w:ascii="Arial" w:hAnsi="Arial" w:cs="Arial"/>
                <w:sz w:val="22"/>
                <w:szCs w:val="22"/>
              </w:rPr>
              <w:t>demonstrat</w:t>
            </w:r>
            <w:r w:rsidR="0081088D" w:rsidRPr="003648A7">
              <w:rPr>
                <w:rFonts w:ascii="Arial" w:hAnsi="Arial" w:cs="Arial"/>
                <w:sz w:val="22"/>
                <w:szCs w:val="22"/>
              </w:rPr>
              <w:t>es</w:t>
            </w:r>
            <w:r w:rsidRPr="003648A7">
              <w:rPr>
                <w:rFonts w:ascii="Arial" w:hAnsi="Arial" w:cs="Arial"/>
                <w:sz w:val="22"/>
                <w:szCs w:val="22"/>
              </w:rPr>
              <w:t xml:space="preserve"> a net change in nitrogen load from the development of an additional </w:t>
            </w:r>
            <w:r w:rsidR="004255A8" w:rsidRPr="003648A7">
              <w:rPr>
                <w:rFonts w:ascii="Arial" w:hAnsi="Arial" w:cs="Arial"/>
                <w:sz w:val="22"/>
                <w:szCs w:val="22"/>
              </w:rPr>
              <w:t>64.12</w:t>
            </w:r>
            <w:r w:rsidRPr="003648A7">
              <w:rPr>
                <w:rFonts w:ascii="Arial" w:hAnsi="Arial" w:cs="Arial"/>
                <w:sz w:val="22"/>
                <w:szCs w:val="22"/>
              </w:rPr>
              <w:t>kg/TN/year</w:t>
            </w:r>
            <w:r w:rsidR="0081088D" w:rsidRPr="003648A7">
              <w:rPr>
                <w:rFonts w:ascii="Arial" w:hAnsi="Arial" w:cs="Arial"/>
                <w:sz w:val="22"/>
                <w:szCs w:val="22"/>
              </w:rPr>
              <w:t xml:space="preserve"> and a pre-2030 increase of 465.24kg TN/yr. </w:t>
            </w:r>
            <w:r w:rsidR="006E0655" w:rsidRPr="003648A7">
              <w:rPr>
                <w:rFonts w:ascii="Arial" w:hAnsi="Arial" w:cs="Arial"/>
                <w:sz w:val="22"/>
                <w:szCs w:val="22"/>
              </w:rPr>
              <w:t xml:space="preserve">The development would also result in a net annual increase in the phosphorous load 6.38 </w:t>
            </w:r>
            <w:proofErr w:type="spellStart"/>
            <w:r w:rsidR="006E0655" w:rsidRPr="003648A7">
              <w:rPr>
                <w:rFonts w:ascii="Arial" w:hAnsi="Arial" w:cs="Arial"/>
                <w:sz w:val="22"/>
                <w:szCs w:val="22"/>
              </w:rPr>
              <w:t>kgTP</w:t>
            </w:r>
            <w:proofErr w:type="spellEnd"/>
            <w:r w:rsidR="006E0655" w:rsidRPr="003648A7">
              <w:rPr>
                <w:rFonts w:ascii="Arial" w:hAnsi="Arial" w:cs="Arial"/>
                <w:sz w:val="22"/>
                <w:szCs w:val="22"/>
              </w:rPr>
              <w:t>/yr and a pre-2030 increase of</w:t>
            </w:r>
            <w:r w:rsidR="00D106EF" w:rsidRPr="003648A7">
              <w:rPr>
                <w:rFonts w:ascii="Arial" w:hAnsi="Arial" w:cs="Arial"/>
                <w:sz w:val="22"/>
                <w:szCs w:val="22"/>
              </w:rPr>
              <w:t xml:space="preserve"> 12.25 kg TP/yr. </w:t>
            </w:r>
            <w:r w:rsidR="000414A3">
              <w:rPr>
                <w:rFonts w:ascii="Arial" w:hAnsi="Arial" w:cs="Arial"/>
                <w:sz w:val="22"/>
                <w:szCs w:val="22"/>
              </w:rPr>
              <w:t xml:space="preserve">A full explanation of these </w:t>
            </w:r>
            <w:r w:rsidR="00A8350F">
              <w:rPr>
                <w:rFonts w:ascii="Arial" w:hAnsi="Arial" w:cs="Arial"/>
                <w:sz w:val="22"/>
                <w:szCs w:val="22"/>
              </w:rPr>
              <w:t xml:space="preserve">figures is provided </w:t>
            </w:r>
            <w:r w:rsidR="000414A3">
              <w:rPr>
                <w:rFonts w:ascii="Arial" w:hAnsi="Arial" w:cs="Arial"/>
                <w:sz w:val="22"/>
                <w:szCs w:val="22"/>
              </w:rPr>
              <w:t xml:space="preserve">within the </w:t>
            </w:r>
            <w:r w:rsidR="002241D5">
              <w:rPr>
                <w:rFonts w:ascii="Arial" w:hAnsi="Arial" w:cs="Arial"/>
                <w:sz w:val="22"/>
                <w:szCs w:val="22"/>
              </w:rPr>
              <w:t>Applicant’s briefing note: Nutrient Neutrality</w:t>
            </w:r>
            <w:r w:rsidR="000414A3">
              <w:rPr>
                <w:rFonts w:ascii="Arial" w:hAnsi="Arial" w:cs="Arial"/>
                <w:sz w:val="22"/>
                <w:szCs w:val="22"/>
              </w:rPr>
              <w:t>. A</w:t>
            </w:r>
            <w:r w:rsidR="004C70B7">
              <w:rPr>
                <w:rFonts w:ascii="Arial" w:hAnsi="Arial" w:cs="Arial"/>
                <w:sz w:val="22"/>
                <w:szCs w:val="22"/>
              </w:rPr>
              <w:t xml:space="preserve"> nitrogen budget (e</w:t>
            </w:r>
            <w:r w:rsidR="000414A3">
              <w:rPr>
                <w:rFonts w:ascii="Arial" w:hAnsi="Arial" w:cs="Arial"/>
                <w:sz w:val="22"/>
                <w:szCs w:val="22"/>
              </w:rPr>
              <w:t>dp78852_r017) and phosphates budget (e</w:t>
            </w:r>
            <w:r w:rsidR="002D3EF6">
              <w:rPr>
                <w:rFonts w:ascii="Arial" w:hAnsi="Arial" w:cs="Arial"/>
                <w:sz w:val="22"/>
                <w:szCs w:val="22"/>
              </w:rPr>
              <w:t xml:space="preserve">dp7852_r024) </w:t>
            </w:r>
            <w:r w:rsidR="000414A3">
              <w:rPr>
                <w:rFonts w:ascii="Arial" w:hAnsi="Arial" w:cs="Arial"/>
                <w:sz w:val="22"/>
                <w:szCs w:val="22"/>
              </w:rPr>
              <w:t xml:space="preserve">has also been provided for the development. </w:t>
            </w:r>
          </w:p>
          <w:p w14:paraId="69A3AFE8" w14:textId="77777777" w:rsidR="00D106EF" w:rsidRPr="003648A7" w:rsidRDefault="00D106EF" w:rsidP="0089498B">
            <w:pPr>
              <w:spacing w:line="276" w:lineRule="auto"/>
              <w:rPr>
                <w:rFonts w:ascii="Arial" w:hAnsi="Arial" w:cs="Arial"/>
                <w:sz w:val="22"/>
                <w:szCs w:val="22"/>
              </w:rPr>
            </w:pPr>
          </w:p>
          <w:p w14:paraId="3936E30F" w14:textId="12273FD5" w:rsidR="007F10FD" w:rsidRPr="003648A7" w:rsidRDefault="007F10FD" w:rsidP="007F10FD">
            <w:pPr>
              <w:spacing w:line="276" w:lineRule="auto"/>
              <w:rPr>
                <w:rFonts w:ascii="Arial" w:hAnsi="Arial" w:cs="Arial"/>
                <w:sz w:val="22"/>
                <w:szCs w:val="22"/>
              </w:rPr>
            </w:pPr>
            <w:r w:rsidRPr="003648A7">
              <w:rPr>
                <w:rFonts w:ascii="Arial" w:hAnsi="Arial" w:cs="Arial"/>
                <w:sz w:val="22"/>
                <w:szCs w:val="22"/>
              </w:rPr>
              <w:t xml:space="preserve">The impacts of this increase in nitrogen and phosphorous load are such that the development would have a likely significant effect on the </w:t>
            </w:r>
            <w:r w:rsidR="009C04EC">
              <w:rPr>
                <w:rFonts w:ascii="Arial" w:hAnsi="Arial" w:cs="Arial"/>
                <w:sz w:val="22"/>
                <w:szCs w:val="22"/>
              </w:rPr>
              <w:t xml:space="preserve">Itchen and </w:t>
            </w:r>
            <w:r w:rsidRPr="003648A7">
              <w:rPr>
                <w:rFonts w:ascii="Arial" w:hAnsi="Arial" w:cs="Arial"/>
                <w:sz w:val="22"/>
                <w:szCs w:val="22"/>
              </w:rPr>
              <w:t xml:space="preserve">Solent designated sites due to the increase in wastewater. </w:t>
            </w:r>
            <w:proofErr w:type="gramStart"/>
            <w:r w:rsidRPr="003648A7">
              <w:rPr>
                <w:rFonts w:ascii="Arial" w:hAnsi="Arial" w:cs="Arial"/>
                <w:sz w:val="22"/>
                <w:szCs w:val="22"/>
              </w:rPr>
              <w:t>In order to</w:t>
            </w:r>
            <w:proofErr w:type="gramEnd"/>
            <w:r w:rsidRPr="003648A7">
              <w:rPr>
                <w:rFonts w:ascii="Arial" w:hAnsi="Arial" w:cs="Arial"/>
                <w:sz w:val="22"/>
                <w:szCs w:val="22"/>
              </w:rPr>
              <w:t xml:space="preserve"> be lawfully permitted, therefore, a package of avoidance and mitigation measures are required. </w:t>
            </w:r>
          </w:p>
          <w:p w14:paraId="5C7C2214" w14:textId="77777777" w:rsidR="007F10FD" w:rsidRPr="003648A7" w:rsidRDefault="007F10FD" w:rsidP="0089498B">
            <w:pPr>
              <w:spacing w:line="276" w:lineRule="auto"/>
              <w:rPr>
                <w:rFonts w:ascii="Arial" w:hAnsi="Arial" w:cs="Arial"/>
                <w:sz w:val="22"/>
                <w:szCs w:val="22"/>
              </w:rPr>
            </w:pPr>
          </w:p>
          <w:p w14:paraId="1050D55E" w14:textId="4BC5BDFD" w:rsidR="00657D42" w:rsidRPr="003648A7" w:rsidRDefault="00AF5CBB" w:rsidP="00B9424B">
            <w:pPr>
              <w:spacing w:line="276" w:lineRule="auto"/>
              <w:rPr>
                <w:rFonts w:ascii="Arial" w:hAnsi="Arial" w:cs="Arial"/>
                <w:sz w:val="22"/>
                <w:szCs w:val="22"/>
                <w:shd w:val="clear" w:color="auto" w:fill="FFFFFF"/>
              </w:rPr>
            </w:pPr>
            <w:r w:rsidRPr="003648A7">
              <w:rPr>
                <w:rFonts w:ascii="Arial" w:hAnsi="Arial" w:cs="Arial"/>
                <w:sz w:val="22"/>
                <w:szCs w:val="22"/>
              </w:rPr>
              <w:t xml:space="preserve">The mitigation for this development will be through the applicant purchasing </w:t>
            </w:r>
            <w:r w:rsidR="007D4FAD">
              <w:rPr>
                <w:rFonts w:ascii="Arial" w:hAnsi="Arial" w:cs="Arial"/>
                <w:sz w:val="22"/>
                <w:szCs w:val="22"/>
              </w:rPr>
              <w:t>nitrate</w:t>
            </w:r>
            <w:r w:rsidRPr="003648A7">
              <w:rPr>
                <w:rFonts w:ascii="Arial" w:hAnsi="Arial" w:cs="Arial"/>
                <w:sz w:val="22"/>
                <w:szCs w:val="22"/>
              </w:rPr>
              <w:t xml:space="preserve"> credits from the Eastleigh Borough Council nitrates mitigation scheme. </w:t>
            </w:r>
            <w:r w:rsidRPr="003648A7">
              <w:rPr>
                <w:rFonts w:ascii="Arial" w:hAnsi="Arial" w:cs="Arial"/>
                <w:sz w:val="22"/>
                <w:szCs w:val="22"/>
                <w:shd w:val="clear" w:color="auto" w:fill="FFFFFF"/>
              </w:rPr>
              <w:t xml:space="preserve">Eastleigh Borough Council has 3773 spare credits (1 credit = 1 kilogram of nitrates per year), which are provided across 238 hectares of council-owned land. To date the nitrate credits being made available by Eastleigh Borough Council are all through the cessation of farming practices, although in future further credits may </w:t>
            </w:r>
            <w:r w:rsidRPr="003648A7">
              <w:rPr>
                <w:rFonts w:ascii="Arial" w:hAnsi="Arial" w:cs="Arial"/>
                <w:sz w:val="22"/>
                <w:szCs w:val="22"/>
                <w:shd w:val="clear" w:color="auto" w:fill="FFFFFF"/>
              </w:rPr>
              <w:lastRenderedPageBreak/>
              <w:t xml:space="preserve">be generated from proactive interventions such as creation of wetland, planting of woodland, installation of nitrate retaining SUDs features, or similar.  In addition, the Council also has </w:t>
            </w:r>
            <w:proofErr w:type="gramStart"/>
            <w:r w:rsidRPr="003648A7">
              <w:rPr>
                <w:rFonts w:ascii="Arial" w:hAnsi="Arial" w:cs="Arial"/>
                <w:sz w:val="22"/>
                <w:szCs w:val="22"/>
                <w:shd w:val="clear" w:color="auto" w:fill="FFFFFF"/>
              </w:rPr>
              <w:t>a number of</w:t>
            </w:r>
            <w:proofErr w:type="gramEnd"/>
            <w:r w:rsidRPr="003648A7">
              <w:rPr>
                <w:rFonts w:ascii="Arial" w:hAnsi="Arial" w:cs="Arial"/>
                <w:sz w:val="22"/>
                <w:szCs w:val="22"/>
                <w:shd w:val="clear" w:color="auto" w:fill="FFFFFF"/>
              </w:rPr>
              <w:t xml:space="preserve"> phosphate credits available for purchase within the Itchen </w:t>
            </w:r>
            <w:r w:rsidRPr="003648A7">
              <w:rPr>
                <w:rFonts w:ascii="Arial" w:hAnsi="Arial" w:cs="Arial"/>
                <w:color w:val="0B0C0C"/>
                <w:sz w:val="22"/>
                <w:szCs w:val="22"/>
                <w:shd w:val="clear" w:color="auto" w:fill="FFFFFF"/>
              </w:rPr>
              <w:t xml:space="preserve">catchment, at a </w:t>
            </w:r>
            <w:r w:rsidRPr="003648A7">
              <w:rPr>
                <w:rFonts w:ascii="Arial" w:hAnsi="Arial" w:cs="Arial"/>
                <w:sz w:val="22"/>
                <w:szCs w:val="22"/>
                <w:shd w:val="clear" w:color="auto" w:fill="FFFFFF"/>
              </w:rPr>
              <w:t>cost of £50,000 per credit plus VAT.</w:t>
            </w:r>
            <w:r w:rsidR="00657D42" w:rsidRPr="003648A7">
              <w:rPr>
                <w:rFonts w:ascii="Arial" w:hAnsi="Arial" w:cs="Arial"/>
                <w:sz w:val="22"/>
                <w:szCs w:val="22"/>
                <w:shd w:val="clear" w:color="auto" w:fill="FFFFFF"/>
              </w:rPr>
              <w:t xml:space="preserve"> </w:t>
            </w:r>
            <w:r w:rsidR="004B080F" w:rsidRPr="003648A7">
              <w:rPr>
                <w:rFonts w:ascii="Arial" w:hAnsi="Arial" w:cs="Arial"/>
                <w:sz w:val="22"/>
                <w:szCs w:val="22"/>
                <w:shd w:val="clear" w:color="auto" w:fill="FFFFFF"/>
              </w:rPr>
              <w:t xml:space="preserve"> </w:t>
            </w:r>
            <w:r w:rsidR="00B9424B" w:rsidRPr="003648A7">
              <w:rPr>
                <w:rFonts w:ascii="Arial" w:hAnsi="Arial" w:cs="Arial"/>
                <w:sz w:val="22"/>
                <w:szCs w:val="22"/>
              </w:rPr>
              <w:t xml:space="preserve">Upon purchasing the credits, the </w:t>
            </w:r>
            <w:r w:rsidR="007D4FAD">
              <w:rPr>
                <w:rFonts w:ascii="Arial" w:hAnsi="Arial" w:cs="Arial"/>
                <w:sz w:val="22"/>
                <w:szCs w:val="22"/>
              </w:rPr>
              <w:t>A</w:t>
            </w:r>
            <w:r w:rsidR="00B9424B" w:rsidRPr="003648A7">
              <w:rPr>
                <w:rFonts w:ascii="Arial" w:hAnsi="Arial" w:cs="Arial"/>
                <w:sz w:val="22"/>
                <w:szCs w:val="22"/>
              </w:rPr>
              <w:t xml:space="preserve">pplicant will receive a vesting certificate that will identify the nitrate </w:t>
            </w:r>
            <w:r w:rsidR="00850C5D">
              <w:rPr>
                <w:rFonts w:ascii="Arial" w:hAnsi="Arial" w:cs="Arial"/>
                <w:sz w:val="22"/>
                <w:szCs w:val="22"/>
              </w:rPr>
              <w:t xml:space="preserve">and phosphates </w:t>
            </w:r>
            <w:r w:rsidR="00B9424B" w:rsidRPr="003648A7">
              <w:rPr>
                <w:rFonts w:ascii="Arial" w:hAnsi="Arial" w:cs="Arial"/>
                <w:sz w:val="22"/>
                <w:szCs w:val="22"/>
              </w:rPr>
              <w:t xml:space="preserve">credits, which have been assigned to the development and a record of this investment is retained by the Council. </w:t>
            </w:r>
          </w:p>
          <w:p w14:paraId="1BFD9710" w14:textId="77777777" w:rsidR="004B080F" w:rsidRPr="003648A7" w:rsidRDefault="004B080F" w:rsidP="004B080F">
            <w:pPr>
              <w:spacing w:line="276" w:lineRule="auto"/>
              <w:rPr>
                <w:rFonts w:ascii="Arial" w:hAnsi="Arial" w:cs="Arial"/>
                <w:sz w:val="22"/>
                <w:szCs w:val="22"/>
              </w:rPr>
            </w:pPr>
          </w:p>
          <w:p w14:paraId="4337948B" w14:textId="02DAB926" w:rsidR="004B080F" w:rsidRPr="003648A7" w:rsidRDefault="004B080F" w:rsidP="004B080F">
            <w:pPr>
              <w:spacing w:line="276" w:lineRule="auto"/>
              <w:rPr>
                <w:rFonts w:ascii="Arial" w:hAnsi="Arial" w:cs="Arial"/>
                <w:sz w:val="22"/>
                <w:szCs w:val="22"/>
              </w:rPr>
            </w:pPr>
            <w:r w:rsidRPr="003648A7">
              <w:rPr>
                <w:rFonts w:ascii="Arial" w:hAnsi="Arial" w:cs="Arial"/>
                <w:sz w:val="22"/>
                <w:szCs w:val="22"/>
              </w:rPr>
              <w:t xml:space="preserve">Where the Council proposes to use its own land holdings to offset development as mitigation with appropriate land management, the Council commits to the land being secured in perpetuity (i.e. 80 years). For those offsetting sites that are ultimately intended for development, the Council will ensure these will not be developed until equivalent mitigation that has been agreed with Natural England is provided and secured. </w:t>
            </w:r>
          </w:p>
          <w:p w14:paraId="56CF9DE4" w14:textId="77777777" w:rsidR="00657D42" w:rsidRPr="003648A7" w:rsidRDefault="00657D42" w:rsidP="00B9424B">
            <w:pPr>
              <w:spacing w:line="276" w:lineRule="auto"/>
              <w:rPr>
                <w:rFonts w:ascii="Arial" w:hAnsi="Arial" w:cs="Arial"/>
                <w:sz w:val="22"/>
                <w:szCs w:val="22"/>
              </w:rPr>
            </w:pPr>
          </w:p>
          <w:p w14:paraId="4F4EB298" w14:textId="037885DE" w:rsidR="00657D42" w:rsidRPr="003648A7" w:rsidRDefault="0026450F" w:rsidP="00B9424B">
            <w:pPr>
              <w:spacing w:line="276" w:lineRule="auto"/>
              <w:rPr>
                <w:rFonts w:ascii="Arial" w:hAnsi="Arial" w:cs="Arial"/>
                <w:sz w:val="22"/>
                <w:szCs w:val="22"/>
              </w:rPr>
            </w:pPr>
            <w:r w:rsidRPr="003648A7">
              <w:rPr>
                <w:rFonts w:ascii="Arial" w:hAnsi="Arial" w:cs="Arial"/>
                <w:sz w:val="22"/>
                <w:szCs w:val="22"/>
              </w:rPr>
              <w:t>Alternatively,</w:t>
            </w:r>
            <w:r w:rsidR="00162DC7" w:rsidRPr="003648A7">
              <w:rPr>
                <w:rFonts w:ascii="Arial" w:hAnsi="Arial" w:cs="Arial"/>
                <w:sz w:val="22"/>
                <w:szCs w:val="22"/>
              </w:rPr>
              <w:t xml:space="preserve"> </w:t>
            </w:r>
            <w:r w:rsidR="00657D42" w:rsidRPr="003648A7">
              <w:rPr>
                <w:rFonts w:ascii="Arial" w:hAnsi="Arial" w:cs="Arial"/>
                <w:sz w:val="22"/>
                <w:szCs w:val="22"/>
              </w:rPr>
              <w:t xml:space="preserve">there are </w:t>
            </w:r>
            <w:r w:rsidR="00723E1C" w:rsidRPr="003648A7">
              <w:rPr>
                <w:rFonts w:ascii="Arial" w:hAnsi="Arial" w:cs="Arial"/>
                <w:sz w:val="22"/>
                <w:szCs w:val="22"/>
              </w:rPr>
              <w:t>several</w:t>
            </w:r>
            <w:r w:rsidR="00162DC7" w:rsidRPr="003648A7">
              <w:rPr>
                <w:rFonts w:ascii="Arial" w:hAnsi="Arial" w:cs="Arial"/>
                <w:sz w:val="22"/>
                <w:szCs w:val="22"/>
              </w:rPr>
              <w:t xml:space="preserve"> other nutrient mitigation </w:t>
            </w:r>
            <w:r w:rsidR="00657D42" w:rsidRPr="003648A7">
              <w:rPr>
                <w:rFonts w:ascii="Arial" w:hAnsi="Arial" w:cs="Arial"/>
                <w:sz w:val="22"/>
                <w:szCs w:val="22"/>
              </w:rPr>
              <w:t>projects within the</w:t>
            </w:r>
            <w:r w:rsidR="00173B7A">
              <w:rPr>
                <w:rFonts w:ascii="Arial" w:hAnsi="Arial" w:cs="Arial"/>
                <w:sz w:val="22"/>
                <w:szCs w:val="22"/>
              </w:rPr>
              <w:t xml:space="preserve"> River Itchen </w:t>
            </w:r>
            <w:r w:rsidR="00657D42" w:rsidRPr="003648A7">
              <w:rPr>
                <w:rFonts w:ascii="Arial" w:hAnsi="Arial" w:cs="Arial"/>
                <w:sz w:val="22"/>
                <w:szCs w:val="22"/>
              </w:rPr>
              <w:t>catchments area</w:t>
            </w:r>
            <w:r w:rsidR="00954C50">
              <w:rPr>
                <w:rFonts w:ascii="Arial" w:hAnsi="Arial" w:cs="Arial"/>
                <w:sz w:val="22"/>
                <w:szCs w:val="22"/>
              </w:rPr>
              <w:t xml:space="preserve">. </w:t>
            </w:r>
            <w:r w:rsidR="00723E1C">
              <w:rPr>
                <w:rFonts w:ascii="Arial" w:hAnsi="Arial" w:cs="Arial"/>
                <w:sz w:val="22"/>
                <w:szCs w:val="22"/>
              </w:rPr>
              <w:t>The Applicant would be able to purchase credits within these schemes</w:t>
            </w:r>
            <w:r w:rsidR="00954C50">
              <w:rPr>
                <w:rFonts w:ascii="Arial" w:hAnsi="Arial" w:cs="Arial"/>
                <w:sz w:val="22"/>
                <w:szCs w:val="22"/>
              </w:rPr>
              <w:t xml:space="preserve">, </w:t>
            </w:r>
            <w:r w:rsidRPr="003648A7">
              <w:rPr>
                <w:rFonts w:ascii="Arial" w:hAnsi="Arial" w:cs="Arial"/>
                <w:sz w:val="22"/>
                <w:szCs w:val="22"/>
              </w:rPr>
              <w:t xml:space="preserve">should Natural England object to the Eastleigh Borough Council phosphate mitigation scheme. The full list of mitigation </w:t>
            </w:r>
            <w:r w:rsidR="00954C50" w:rsidRPr="003648A7">
              <w:rPr>
                <w:rFonts w:ascii="Arial" w:hAnsi="Arial" w:cs="Arial"/>
                <w:sz w:val="22"/>
                <w:szCs w:val="22"/>
              </w:rPr>
              <w:t>projects</w:t>
            </w:r>
            <w:r w:rsidRPr="003648A7">
              <w:rPr>
                <w:rFonts w:ascii="Arial" w:hAnsi="Arial" w:cs="Arial"/>
                <w:sz w:val="22"/>
                <w:szCs w:val="22"/>
              </w:rPr>
              <w:t xml:space="preserve"> </w:t>
            </w:r>
            <w:r w:rsidR="00FE4B18">
              <w:rPr>
                <w:rFonts w:ascii="Arial" w:hAnsi="Arial" w:cs="Arial"/>
                <w:sz w:val="22"/>
                <w:szCs w:val="22"/>
              </w:rPr>
              <w:t>is</w:t>
            </w:r>
            <w:r w:rsidRPr="003648A7">
              <w:rPr>
                <w:rFonts w:ascii="Arial" w:hAnsi="Arial" w:cs="Arial"/>
                <w:sz w:val="22"/>
                <w:szCs w:val="22"/>
              </w:rPr>
              <w:t xml:space="preserve"> identified within</w:t>
            </w:r>
            <w:r w:rsidR="00954C50">
              <w:rPr>
                <w:rFonts w:ascii="Arial" w:hAnsi="Arial" w:cs="Arial"/>
                <w:sz w:val="22"/>
                <w:szCs w:val="22"/>
              </w:rPr>
              <w:t xml:space="preserve"> </w:t>
            </w:r>
            <w:r w:rsidR="00657D42" w:rsidRPr="003648A7">
              <w:rPr>
                <w:rFonts w:ascii="Arial" w:hAnsi="Arial" w:cs="Arial"/>
                <w:sz w:val="22"/>
                <w:szCs w:val="22"/>
              </w:rPr>
              <w:t xml:space="preserve">Appendix 1 of the Applicant’s Briefing Note: Nutrient ~Neutrality (edp7852_r025a). </w:t>
            </w:r>
          </w:p>
          <w:p w14:paraId="059DCDF8" w14:textId="77777777" w:rsidR="00BF6868" w:rsidRPr="003648A7" w:rsidRDefault="00BF6868" w:rsidP="00B9424B">
            <w:pPr>
              <w:spacing w:line="276" w:lineRule="auto"/>
              <w:rPr>
                <w:rFonts w:ascii="Arial" w:hAnsi="Arial" w:cs="Arial"/>
                <w:sz w:val="22"/>
                <w:szCs w:val="22"/>
              </w:rPr>
            </w:pPr>
          </w:p>
          <w:p w14:paraId="3EB1B7B2" w14:textId="6D5C7956" w:rsidR="00BF6868" w:rsidRPr="003648A7" w:rsidRDefault="00BF6868" w:rsidP="00B9424B">
            <w:pPr>
              <w:spacing w:line="276" w:lineRule="auto"/>
              <w:rPr>
                <w:rFonts w:ascii="Arial" w:hAnsi="Arial" w:cs="Arial"/>
                <w:sz w:val="22"/>
                <w:szCs w:val="22"/>
              </w:rPr>
            </w:pPr>
            <w:r w:rsidRPr="003648A7">
              <w:rPr>
                <w:rFonts w:ascii="Arial" w:hAnsi="Arial" w:cs="Arial"/>
                <w:sz w:val="22"/>
                <w:szCs w:val="22"/>
              </w:rPr>
              <w:t xml:space="preserve">The nitrates and phosphates mitigation will be secured </w:t>
            </w:r>
            <w:r w:rsidR="004B080F" w:rsidRPr="003648A7">
              <w:rPr>
                <w:rFonts w:ascii="Arial" w:hAnsi="Arial" w:cs="Arial"/>
                <w:sz w:val="22"/>
                <w:szCs w:val="22"/>
              </w:rPr>
              <w:t xml:space="preserve">through a S106 legal agreement for the outline planning application. </w:t>
            </w:r>
            <w:r w:rsidRPr="003648A7">
              <w:rPr>
                <w:rFonts w:ascii="Arial" w:hAnsi="Arial" w:cs="Arial"/>
                <w:sz w:val="22"/>
                <w:szCs w:val="22"/>
              </w:rPr>
              <w:t xml:space="preserve"> </w:t>
            </w:r>
          </w:p>
          <w:p w14:paraId="21EAC532" w14:textId="77777777" w:rsidR="00D63DD3" w:rsidRPr="003648A7" w:rsidRDefault="00D63DD3" w:rsidP="004B080F">
            <w:pPr>
              <w:spacing w:line="276" w:lineRule="auto"/>
              <w:rPr>
                <w:rFonts w:ascii="Arial" w:hAnsi="Arial" w:cs="Arial"/>
                <w:sz w:val="22"/>
                <w:szCs w:val="22"/>
              </w:rPr>
            </w:pPr>
          </w:p>
        </w:tc>
      </w:tr>
      <w:tr w:rsidR="00BC10E0" w:rsidRPr="003648A7" w14:paraId="20B2A54A" w14:textId="77777777" w:rsidTr="00376970">
        <w:tc>
          <w:tcPr>
            <w:tcW w:w="9608" w:type="dxa"/>
            <w:gridSpan w:val="3"/>
            <w:tcBorders>
              <w:top w:val="single" w:sz="12" w:space="0" w:color="0083BE"/>
            </w:tcBorders>
            <w:shd w:val="clear" w:color="auto" w:fill="70AD47" w:themeFill="accent6"/>
          </w:tcPr>
          <w:p w14:paraId="637528FF" w14:textId="77777777" w:rsidR="00CC6907" w:rsidRPr="003648A7" w:rsidRDefault="00724EC7" w:rsidP="003D781A">
            <w:pPr>
              <w:spacing w:line="276" w:lineRule="auto"/>
              <w:rPr>
                <w:rFonts w:ascii="Arial" w:hAnsi="Arial" w:cs="Arial"/>
                <w:b/>
                <w:sz w:val="22"/>
                <w:szCs w:val="22"/>
              </w:rPr>
            </w:pPr>
            <w:r w:rsidRPr="003648A7">
              <w:rPr>
                <w:rFonts w:ascii="Arial" w:hAnsi="Arial" w:cs="Arial"/>
                <w:b/>
                <w:color w:val="FFFFFF"/>
                <w:sz w:val="22"/>
                <w:szCs w:val="22"/>
              </w:rPr>
              <w:lastRenderedPageBreak/>
              <w:t>Stage 4 – Summary of the Appropriate Assessment (To be carried out by the Competent Authority (the local planning authority) in liaison with Natural England</w:t>
            </w:r>
          </w:p>
        </w:tc>
      </w:tr>
      <w:tr w:rsidR="00BC10E0" w:rsidRPr="003648A7" w14:paraId="195118A9" w14:textId="77777777" w:rsidTr="00E235BE">
        <w:tc>
          <w:tcPr>
            <w:tcW w:w="9608" w:type="dxa"/>
            <w:gridSpan w:val="3"/>
          </w:tcPr>
          <w:p w14:paraId="007BDBE2" w14:textId="454CDC86" w:rsidR="00CC6907" w:rsidRPr="003648A7" w:rsidRDefault="00724EC7" w:rsidP="003D781A">
            <w:pPr>
              <w:spacing w:line="276" w:lineRule="auto"/>
              <w:rPr>
                <w:rFonts w:ascii="Arial" w:hAnsi="Arial" w:cs="Arial"/>
                <w:sz w:val="22"/>
                <w:szCs w:val="22"/>
              </w:rPr>
            </w:pPr>
            <w:r w:rsidRPr="003648A7">
              <w:rPr>
                <w:rFonts w:ascii="Arial" w:hAnsi="Arial" w:cs="Arial"/>
                <w:sz w:val="22"/>
                <w:szCs w:val="22"/>
              </w:rPr>
              <w:t xml:space="preserve">In conclusion, the application will have a likely significant effect in the absence of avoidance and mitigation measures on the above European and Internationally protected sites.  The authority has concluded that the adverse effects arising from the proposal </w:t>
            </w:r>
            <w:r w:rsidR="00F21D0D" w:rsidRPr="003648A7">
              <w:rPr>
                <w:rFonts w:ascii="Arial" w:hAnsi="Arial" w:cs="Arial"/>
                <w:sz w:val="22"/>
                <w:szCs w:val="22"/>
              </w:rPr>
              <w:t xml:space="preserve">can be mitigated for </w:t>
            </w:r>
            <w:r w:rsidRPr="003648A7">
              <w:rPr>
                <w:rFonts w:ascii="Arial" w:hAnsi="Arial" w:cs="Arial"/>
                <w:sz w:val="22"/>
                <w:szCs w:val="22"/>
              </w:rPr>
              <w:t>and that it can therefore be concluded that there will be no adverse effect on the integrity of the designated sites identified above.  This represents the authorities Appropriate Assessment as Competent Authority in accordance with requirements under Regulation 63 of the Conservation of Habitats and Species Regulations 2017, Article 6 (3) of the Habitats Directive and having due regard to its duties under Section 40(1) of the NERC Act 2006 to the purpose of conserving biodiversity. Consideration of the Ram</w:t>
            </w:r>
            <w:r w:rsidRPr="003648A7">
              <w:rPr>
                <w:rFonts w:ascii="Arial" w:hAnsi="Arial" w:cs="Arial"/>
                <w:sz w:val="22"/>
                <w:szCs w:val="22"/>
              </w:rPr>
              <w:t>sar site/s is a matter of government policy set out in the National Planning Policy Framework 2012.</w:t>
            </w:r>
          </w:p>
          <w:p w14:paraId="2AAF11F8" w14:textId="77777777" w:rsidR="00CC6907" w:rsidRPr="003648A7" w:rsidRDefault="00724EC7" w:rsidP="003D781A">
            <w:pPr>
              <w:spacing w:line="276" w:lineRule="auto"/>
              <w:rPr>
                <w:rFonts w:ascii="Arial" w:hAnsi="Arial" w:cs="Arial"/>
                <w:sz w:val="22"/>
                <w:szCs w:val="22"/>
              </w:rPr>
            </w:pPr>
            <w:r w:rsidRPr="003648A7">
              <w:rPr>
                <w:rFonts w:ascii="Arial" w:hAnsi="Arial" w:cs="Arial"/>
                <w:sz w:val="22"/>
                <w:szCs w:val="22"/>
              </w:rPr>
              <w:t xml:space="preserve"> </w:t>
            </w:r>
          </w:p>
        </w:tc>
      </w:tr>
    </w:tbl>
    <w:p w14:paraId="572BC7E6" w14:textId="77777777" w:rsidR="00CC6907" w:rsidRPr="003648A7" w:rsidRDefault="00CC6907" w:rsidP="000A6BF4">
      <w:pPr>
        <w:spacing w:line="276" w:lineRule="auto"/>
        <w:rPr>
          <w:rFonts w:ascii="Arial" w:hAnsi="Arial" w:cs="Arial"/>
          <w:sz w:val="22"/>
          <w:szCs w:val="22"/>
        </w:rPr>
      </w:pPr>
    </w:p>
    <w:sectPr w:rsidR="00CC6907" w:rsidRPr="003648A7"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C4035C"/>
    <w:multiLevelType w:val="hybridMultilevel"/>
    <w:tmpl w:val="6F326F0A"/>
    <w:lvl w:ilvl="0" w:tplc="B5588930">
      <w:start w:val="1"/>
      <w:numFmt w:val="lowerLetter"/>
      <w:lvlText w:val="%1)"/>
      <w:lvlJc w:val="left"/>
      <w:pPr>
        <w:ind w:left="720" w:hanging="360"/>
      </w:pPr>
    </w:lvl>
    <w:lvl w:ilvl="1" w:tplc="941446BC" w:tentative="1">
      <w:start w:val="1"/>
      <w:numFmt w:val="lowerLetter"/>
      <w:lvlText w:val="%2."/>
      <w:lvlJc w:val="left"/>
      <w:pPr>
        <w:ind w:left="1440" w:hanging="360"/>
      </w:pPr>
    </w:lvl>
    <w:lvl w:ilvl="2" w:tplc="EDA8FC78" w:tentative="1">
      <w:start w:val="1"/>
      <w:numFmt w:val="lowerRoman"/>
      <w:lvlText w:val="%3."/>
      <w:lvlJc w:val="right"/>
      <w:pPr>
        <w:ind w:left="2160" w:hanging="180"/>
      </w:pPr>
    </w:lvl>
    <w:lvl w:ilvl="3" w:tplc="43D238DA" w:tentative="1">
      <w:start w:val="1"/>
      <w:numFmt w:val="decimal"/>
      <w:lvlText w:val="%4."/>
      <w:lvlJc w:val="left"/>
      <w:pPr>
        <w:ind w:left="2880" w:hanging="360"/>
      </w:pPr>
    </w:lvl>
    <w:lvl w:ilvl="4" w:tplc="8B384A74" w:tentative="1">
      <w:start w:val="1"/>
      <w:numFmt w:val="lowerLetter"/>
      <w:lvlText w:val="%5."/>
      <w:lvlJc w:val="left"/>
      <w:pPr>
        <w:ind w:left="3600" w:hanging="360"/>
      </w:pPr>
    </w:lvl>
    <w:lvl w:ilvl="5" w:tplc="94FA9E64" w:tentative="1">
      <w:start w:val="1"/>
      <w:numFmt w:val="lowerRoman"/>
      <w:lvlText w:val="%6."/>
      <w:lvlJc w:val="right"/>
      <w:pPr>
        <w:ind w:left="4320" w:hanging="180"/>
      </w:pPr>
    </w:lvl>
    <w:lvl w:ilvl="6" w:tplc="13DC6512" w:tentative="1">
      <w:start w:val="1"/>
      <w:numFmt w:val="decimal"/>
      <w:lvlText w:val="%7."/>
      <w:lvlJc w:val="left"/>
      <w:pPr>
        <w:ind w:left="5040" w:hanging="360"/>
      </w:pPr>
    </w:lvl>
    <w:lvl w:ilvl="7" w:tplc="E1868A06" w:tentative="1">
      <w:start w:val="1"/>
      <w:numFmt w:val="lowerLetter"/>
      <w:lvlText w:val="%8."/>
      <w:lvlJc w:val="left"/>
      <w:pPr>
        <w:ind w:left="5760" w:hanging="360"/>
      </w:pPr>
    </w:lvl>
    <w:lvl w:ilvl="8" w:tplc="72106FCE" w:tentative="1">
      <w:start w:val="1"/>
      <w:numFmt w:val="lowerRoman"/>
      <w:lvlText w:val="%9."/>
      <w:lvlJc w:val="right"/>
      <w:pPr>
        <w:ind w:left="6480" w:hanging="180"/>
      </w:pPr>
    </w:lvl>
  </w:abstractNum>
  <w:abstractNum w:abstractNumId="1" w15:restartNumberingAfterBreak="0">
    <w:nsid w:val="4540764F"/>
    <w:multiLevelType w:val="hybridMultilevel"/>
    <w:tmpl w:val="1A9672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DBC60B7"/>
    <w:multiLevelType w:val="hybridMultilevel"/>
    <w:tmpl w:val="17322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D56499"/>
    <w:multiLevelType w:val="hybridMultilevel"/>
    <w:tmpl w:val="9DDA551E"/>
    <w:lvl w:ilvl="0" w:tplc="FD6A55EC">
      <w:start w:val="1"/>
      <w:numFmt w:val="decimal"/>
      <w:lvlText w:val="4.%1"/>
      <w:lvlJc w:val="left"/>
      <w:pPr>
        <w:ind w:left="720" w:hanging="360"/>
      </w:pPr>
      <w:rPr>
        <w:rFonts w:hint="default"/>
        <w:sz w:val="22"/>
        <w:szCs w:val="22"/>
      </w:rPr>
    </w:lvl>
    <w:lvl w:ilvl="1" w:tplc="D27C96D0" w:tentative="1">
      <w:start w:val="1"/>
      <w:numFmt w:val="lowerLetter"/>
      <w:lvlText w:val="%2."/>
      <w:lvlJc w:val="left"/>
      <w:pPr>
        <w:ind w:left="1440" w:hanging="360"/>
      </w:pPr>
    </w:lvl>
    <w:lvl w:ilvl="2" w:tplc="3AF665E4">
      <w:start w:val="1"/>
      <w:numFmt w:val="lowerRoman"/>
      <w:lvlText w:val="%3."/>
      <w:lvlJc w:val="right"/>
      <w:pPr>
        <w:ind w:left="2160" w:hanging="180"/>
      </w:pPr>
    </w:lvl>
    <w:lvl w:ilvl="3" w:tplc="59742C44" w:tentative="1">
      <w:start w:val="1"/>
      <w:numFmt w:val="decimal"/>
      <w:lvlText w:val="%4."/>
      <w:lvlJc w:val="left"/>
      <w:pPr>
        <w:ind w:left="2880" w:hanging="360"/>
      </w:pPr>
    </w:lvl>
    <w:lvl w:ilvl="4" w:tplc="72C2EE02" w:tentative="1">
      <w:start w:val="1"/>
      <w:numFmt w:val="lowerLetter"/>
      <w:lvlText w:val="%5."/>
      <w:lvlJc w:val="left"/>
      <w:pPr>
        <w:ind w:left="3600" w:hanging="360"/>
      </w:pPr>
    </w:lvl>
    <w:lvl w:ilvl="5" w:tplc="48E03F52" w:tentative="1">
      <w:start w:val="1"/>
      <w:numFmt w:val="lowerRoman"/>
      <w:lvlText w:val="%6."/>
      <w:lvlJc w:val="right"/>
      <w:pPr>
        <w:ind w:left="4320" w:hanging="180"/>
      </w:pPr>
    </w:lvl>
    <w:lvl w:ilvl="6" w:tplc="7786D0B0" w:tentative="1">
      <w:start w:val="1"/>
      <w:numFmt w:val="decimal"/>
      <w:lvlText w:val="%7."/>
      <w:lvlJc w:val="left"/>
      <w:pPr>
        <w:ind w:left="5040" w:hanging="360"/>
      </w:pPr>
    </w:lvl>
    <w:lvl w:ilvl="7" w:tplc="A8624122" w:tentative="1">
      <w:start w:val="1"/>
      <w:numFmt w:val="lowerLetter"/>
      <w:lvlText w:val="%8."/>
      <w:lvlJc w:val="left"/>
      <w:pPr>
        <w:ind w:left="5760" w:hanging="360"/>
      </w:pPr>
    </w:lvl>
    <w:lvl w:ilvl="8" w:tplc="403CB164" w:tentative="1">
      <w:start w:val="1"/>
      <w:numFmt w:val="lowerRoman"/>
      <w:lvlText w:val="%9."/>
      <w:lvlJc w:val="right"/>
      <w:pPr>
        <w:ind w:left="6480" w:hanging="180"/>
      </w:pPr>
    </w:lvl>
  </w:abstractNum>
  <w:abstractNum w:abstractNumId="4" w15:restartNumberingAfterBreak="0">
    <w:nsid w:val="7B8270D8"/>
    <w:multiLevelType w:val="hybridMultilevel"/>
    <w:tmpl w:val="D7C65186"/>
    <w:lvl w:ilvl="0" w:tplc="6DEC69B4">
      <w:start w:val="1"/>
      <w:numFmt w:val="bullet"/>
      <w:lvlText w:val=""/>
      <w:lvlJc w:val="left"/>
      <w:pPr>
        <w:ind w:left="720" w:hanging="360"/>
      </w:pPr>
      <w:rPr>
        <w:rFonts w:ascii="Wingdings" w:hAnsi="Wingdings" w:hint="default"/>
        <w:color w:val="000000"/>
      </w:rPr>
    </w:lvl>
    <w:lvl w:ilvl="1" w:tplc="81A86F7E" w:tentative="1">
      <w:start w:val="1"/>
      <w:numFmt w:val="bullet"/>
      <w:lvlText w:val="o"/>
      <w:lvlJc w:val="left"/>
      <w:pPr>
        <w:ind w:left="1440" w:hanging="360"/>
      </w:pPr>
      <w:rPr>
        <w:rFonts w:ascii="Courier New" w:hAnsi="Courier New" w:hint="default"/>
      </w:rPr>
    </w:lvl>
    <w:lvl w:ilvl="2" w:tplc="8CE6CBEC" w:tentative="1">
      <w:start w:val="1"/>
      <w:numFmt w:val="bullet"/>
      <w:lvlText w:val=""/>
      <w:lvlJc w:val="left"/>
      <w:pPr>
        <w:ind w:left="2160" w:hanging="360"/>
      </w:pPr>
      <w:rPr>
        <w:rFonts w:ascii="Wingdings" w:hAnsi="Wingdings" w:hint="default"/>
      </w:rPr>
    </w:lvl>
    <w:lvl w:ilvl="3" w:tplc="A26EC03A" w:tentative="1">
      <w:start w:val="1"/>
      <w:numFmt w:val="bullet"/>
      <w:lvlText w:val=""/>
      <w:lvlJc w:val="left"/>
      <w:pPr>
        <w:ind w:left="2880" w:hanging="360"/>
      </w:pPr>
      <w:rPr>
        <w:rFonts w:ascii="Symbol" w:hAnsi="Symbol" w:hint="default"/>
      </w:rPr>
    </w:lvl>
    <w:lvl w:ilvl="4" w:tplc="1096955C" w:tentative="1">
      <w:start w:val="1"/>
      <w:numFmt w:val="bullet"/>
      <w:lvlText w:val="o"/>
      <w:lvlJc w:val="left"/>
      <w:pPr>
        <w:ind w:left="3600" w:hanging="360"/>
      </w:pPr>
      <w:rPr>
        <w:rFonts w:ascii="Courier New" w:hAnsi="Courier New" w:hint="default"/>
      </w:rPr>
    </w:lvl>
    <w:lvl w:ilvl="5" w:tplc="8D240BB6" w:tentative="1">
      <w:start w:val="1"/>
      <w:numFmt w:val="bullet"/>
      <w:lvlText w:val=""/>
      <w:lvlJc w:val="left"/>
      <w:pPr>
        <w:ind w:left="4320" w:hanging="360"/>
      </w:pPr>
      <w:rPr>
        <w:rFonts w:ascii="Wingdings" w:hAnsi="Wingdings" w:hint="default"/>
      </w:rPr>
    </w:lvl>
    <w:lvl w:ilvl="6" w:tplc="B2E4568C" w:tentative="1">
      <w:start w:val="1"/>
      <w:numFmt w:val="bullet"/>
      <w:lvlText w:val=""/>
      <w:lvlJc w:val="left"/>
      <w:pPr>
        <w:ind w:left="5040" w:hanging="360"/>
      </w:pPr>
      <w:rPr>
        <w:rFonts w:ascii="Symbol" w:hAnsi="Symbol" w:hint="default"/>
      </w:rPr>
    </w:lvl>
    <w:lvl w:ilvl="7" w:tplc="C2E45312" w:tentative="1">
      <w:start w:val="1"/>
      <w:numFmt w:val="bullet"/>
      <w:lvlText w:val="o"/>
      <w:lvlJc w:val="left"/>
      <w:pPr>
        <w:ind w:left="5760" w:hanging="360"/>
      </w:pPr>
      <w:rPr>
        <w:rFonts w:ascii="Courier New" w:hAnsi="Courier New" w:hint="default"/>
      </w:rPr>
    </w:lvl>
    <w:lvl w:ilvl="8" w:tplc="5606B44E" w:tentative="1">
      <w:start w:val="1"/>
      <w:numFmt w:val="bullet"/>
      <w:lvlText w:val=""/>
      <w:lvlJc w:val="left"/>
      <w:pPr>
        <w:ind w:left="6480" w:hanging="360"/>
      </w:pPr>
      <w:rPr>
        <w:rFonts w:ascii="Wingdings" w:hAnsi="Wingdings" w:hint="default"/>
      </w:rPr>
    </w:lvl>
  </w:abstractNum>
  <w:num w:numId="1" w16cid:durableId="197788035">
    <w:abstractNumId w:val="4"/>
  </w:num>
  <w:num w:numId="2" w16cid:durableId="120848840">
    <w:abstractNumId w:val="3"/>
  </w:num>
  <w:num w:numId="3" w16cid:durableId="1112438949">
    <w:abstractNumId w:val="0"/>
  </w:num>
  <w:num w:numId="4" w16cid:durableId="631518893">
    <w:abstractNumId w:val="1"/>
  </w:num>
  <w:num w:numId="5" w16cid:durableId="2683888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0E0"/>
    <w:rsid w:val="00007F5D"/>
    <w:rsid w:val="0003010D"/>
    <w:rsid w:val="00037995"/>
    <w:rsid w:val="000414A3"/>
    <w:rsid w:val="0009265D"/>
    <w:rsid w:val="000B05FA"/>
    <w:rsid w:val="000B6995"/>
    <w:rsid w:val="000C6B17"/>
    <w:rsid w:val="000E16ED"/>
    <w:rsid w:val="00162DC7"/>
    <w:rsid w:val="00173B7A"/>
    <w:rsid w:val="002241D5"/>
    <w:rsid w:val="0026450F"/>
    <w:rsid w:val="00273279"/>
    <w:rsid w:val="002D3EF6"/>
    <w:rsid w:val="003125F5"/>
    <w:rsid w:val="003648A7"/>
    <w:rsid w:val="00371F29"/>
    <w:rsid w:val="003C55A4"/>
    <w:rsid w:val="003F68A0"/>
    <w:rsid w:val="0042020F"/>
    <w:rsid w:val="004217BA"/>
    <w:rsid w:val="004255A8"/>
    <w:rsid w:val="004261CC"/>
    <w:rsid w:val="004709A7"/>
    <w:rsid w:val="004B080F"/>
    <w:rsid w:val="004C70B7"/>
    <w:rsid w:val="00507D74"/>
    <w:rsid w:val="00623DFE"/>
    <w:rsid w:val="0064730F"/>
    <w:rsid w:val="00657D42"/>
    <w:rsid w:val="00664DEF"/>
    <w:rsid w:val="00680178"/>
    <w:rsid w:val="006A2739"/>
    <w:rsid w:val="006A789C"/>
    <w:rsid w:val="006C246D"/>
    <w:rsid w:val="006E0655"/>
    <w:rsid w:val="007226E6"/>
    <w:rsid w:val="00723E1C"/>
    <w:rsid w:val="00724EC7"/>
    <w:rsid w:val="007324E9"/>
    <w:rsid w:val="007B3A4F"/>
    <w:rsid w:val="007D31A7"/>
    <w:rsid w:val="007D4FAD"/>
    <w:rsid w:val="007F10FD"/>
    <w:rsid w:val="00803466"/>
    <w:rsid w:val="0081088D"/>
    <w:rsid w:val="00816815"/>
    <w:rsid w:val="0083499A"/>
    <w:rsid w:val="00850C5D"/>
    <w:rsid w:val="0089498B"/>
    <w:rsid w:val="00900BD8"/>
    <w:rsid w:val="00911757"/>
    <w:rsid w:val="00954C50"/>
    <w:rsid w:val="00992669"/>
    <w:rsid w:val="009C04EC"/>
    <w:rsid w:val="00A04D10"/>
    <w:rsid w:val="00A8350F"/>
    <w:rsid w:val="00AF5CBB"/>
    <w:rsid w:val="00B03910"/>
    <w:rsid w:val="00B81143"/>
    <w:rsid w:val="00B9424B"/>
    <w:rsid w:val="00BC10E0"/>
    <w:rsid w:val="00BE6C67"/>
    <w:rsid w:val="00BF1094"/>
    <w:rsid w:val="00BF6868"/>
    <w:rsid w:val="00CB3F20"/>
    <w:rsid w:val="00CC3BB2"/>
    <w:rsid w:val="00CC6907"/>
    <w:rsid w:val="00D0526F"/>
    <w:rsid w:val="00D106EF"/>
    <w:rsid w:val="00D357BC"/>
    <w:rsid w:val="00D63DD3"/>
    <w:rsid w:val="00D81821"/>
    <w:rsid w:val="00DA7949"/>
    <w:rsid w:val="00DC055F"/>
    <w:rsid w:val="00E37FE0"/>
    <w:rsid w:val="00E54819"/>
    <w:rsid w:val="00E718D4"/>
    <w:rsid w:val="00F1505B"/>
    <w:rsid w:val="00F21D0D"/>
    <w:rsid w:val="00FE4143"/>
    <w:rsid w:val="00FE4B1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0F70AA"/>
  <w15:docId w15:val="{40B0AA4A-4BA1-4324-B9F4-009022A76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1272</Words>
  <Characters>7078</Characters>
  <Application>Microsoft Office Word</Application>
  <DocSecurity>0</DocSecurity>
  <Lines>141</Lines>
  <Paragraphs>41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creator>David Hayward</dc:creator>
  <cp:lastModifiedBy>Martin, Clare</cp:lastModifiedBy>
  <cp:revision>2</cp:revision>
  <cp:lastPrinted>2018-06-13T11:32:00Z</cp:lastPrinted>
  <dcterms:created xsi:type="dcterms:W3CDTF">2025-12-04T14:57:00Z</dcterms:created>
  <dcterms:modified xsi:type="dcterms:W3CDTF">2025-12-04T14:57:00Z</dcterms:modified>
</cp:coreProperties>
</file>