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E00EA1" w:rsidRDefault="00E00EA1" w:rsidP="00E00EA1">
      <w:pPr>
        <w:ind w:left="-284"/>
        <w:rPr>
          <w:rFonts w:ascii="Arial" w:hAnsi="Arial"/>
          <w:b/>
          <w:sz w:val="28"/>
        </w:rPr>
      </w:pPr>
      <w:r>
        <w:rPr>
          <w:rFonts w:ascii="Arial" w:hAnsi="Arial"/>
          <w:b/>
          <w:sz w:val="28"/>
        </w:rPr>
        <w:t xml:space="preserve">F/25/100194 – The Old Stables, 7 Winchester Street, </w:t>
      </w:r>
      <w:proofErr w:type="spellStart"/>
      <w:r>
        <w:rPr>
          <w:rFonts w:ascii="Arial" w:hAnsi="Arial"/>
          <w:b/>
          <w:sz w:val="28"/>
        </w:rPr>
        <w:t>Botley</w:t>
      </w:r>
      <w:proofErr w:type="spellEnd"/>
      <w:r>
        <w:rPr>
          <w:rFonts w:ascii="Arial" w:hAnsi="Arial"/>
          <w:b/>
          <w:sz w:val="28"/>
        </w:rPr>
        <w:t xml:space="preserve">, </w:t>
      </w:r>
    </w:p>
    <w:p w:rsidR="00E00EA1" w:rsidRDefault="00E00EA1" w:rsidP="00E00EA1">
      <w:pPr>
        <w:ind w:left="-284"/>
        <w:rPr>
          <w:rFonts w:ascii="Arial" w:hAnsi="Arial"/>
          <w:b/>
          <w:sz w:val="28"/>
        </w:rPr>
      </w:pPr>
      <w:r>
        <w:rPr>
          <w:rFonts w:ascii="Arial" w:hAnsi="Arial"/>
          <w:b/>
          <w:sz w:val="28"/>
        </w:rPr>
        <w:t xml:space="preserve">                       SO30 2EB.</w:t>
      </w:r>
    </w:p>
    <w:p w:rsidR="00E00EA1" w:rsidRDefault="00E00EA1" w:rsidP="00E00EA1">
      <w:pPr>
        <w:ind w:left="-284"/>
        <w:rPr>
          <w:rFonts w:ascii="Arial" w:hAnsi="Arial"/>
          <w:b/>
        </w:rPr>
      </w:pPr>
      <w:r>
        <w:rPr>
          <w:rFonts w:ascii="Arial" w:hAnsi="Arial"/>
          <w:b/>
        </w:rPr>
        <w:t>Context.</w:t>
      </w:r>
    </w:p>
    <w:p w:rsidR="00E00EA1" w:rsidRDefault="00E00EA1" w:rsidP="00E00EA1">
      <w:pPr>
        <w:ind w:left="-284"/>
        <w:rPr>
          <w:rFonts w:ascii="Arial" w:hAnsi="Arial"/>
        </w:rPr>
      </w:pPr>
      <w:r>
        <w:rPr>
          <w:rFonts w:ascii="Arial" w:hAnsi="Arial"/>
        </w:rPr>
        <w:t xml:space="preserve">No.7 Winchester Street is one of eight listed buildings in this lower part of the street, most of which are in zone 4 of the </w:t>
      </w:r>
      <w:proofErr w:type="spellStart"/>
      <w:r>
        <w:rPr>
          <w:rFonts w:ascii="Arial" w:hAnsi="Arial"/>
        </w:rPr>
        <w:t>Botley</w:t>
      </w:r>
      <w:proofErr w:type="spellEnd"/>
      <w:r>
        <w:rPr>
          <w:rFonts w:ascii="Arial" w:hAnsi="Arial"/>
        </w:rPr>
        <w:t xml:space="preserve"> Conservation Area.  No. 7 is List Entry Number 1111963 Grade </w:t>
      </w:r>
      <w:proofErr w:type="spellStart"/>
      <w:r>
        <w:rPr>
          <w:rFonts w:ascii="Arial" w:hAnsi="Arial"/>
        </w:rPr>
        <w:t>ll</w:t>
      </w:r>
      <w:proofErr w:type="spellEnd"/>
      <w:r>
        <w:rPr>
          <w:rFonts w:ascii="Arial" w:hAnsi="Arial"/>
        </w:rPr>
        <w:t xml:space="preserve"> listed on 14</w:t>
      </w:r>
      <w:r w:rsidRPr="00ED14AC">
        <w:rPr>
          <w:rFonts w:ascii="Arial" w:hAnsi="Arial"/>
          <w:vertAlign w:val="superscript"/>
        </w:rPr>
        <w:t>th</w:t>
      </w:r>
      <w:r>
        <w:rPr>
          <w:rFonts w:ascii="Arial" w:hAnsi="Arial"/>
        </w:rPr>
        <w:t xml:space="preserve">. February 1983 and identified </w:t>
      </w:r>
      <w:proofErr w:type="gramStart"/>
      <w:r>
        <w:rPr>
          <w:rFonts w:ascii="Arial" w:hAnsi="Arial"/>
        </w:rPr>
        <w:t>as :-</w:t>
      </w:r>
      <w:proofErr w:type="gramEnd"/>
    </w:p>
    <w:p w:rsidR="00E00EA1" w:rsidRDefault="00E00EA1" w:rsidP="00E00EA1">
      <w:pPr>
        <w:ind w:left="-284"/>
        <w:rPr>
          <w:rFonts w:ascii="Arial" w:hAnsi="Arial"/>
          <w:i/>
        </w:rPr>
      </w:pPr>
      <w:proofErr w:type="gramStart"/>
      <w:r>
        <w:rPr>
          <w:rFonts w:ascii="Arial" w:hAnsi="Arial"/>
          <w:i/>
        </w:rPr>
        <w:t>‘Early C19.</w:t>
      </w:r>
      <w:proofErr w:type="gramEnd"/>
      <w:r>
        <w:rPr>
          <w:rFonts w:ascii="Arial" w:hAnsi="Arial"/>
          <w:i/>
        </w:rPr>
        <w:t xml:space="preserve"> Two storeys. </w:t>
      </w:r>
      <w:proofErr w:type="gramStart"/>
      <w:r>
        <w:rPr>
          <w:rFonts w:ascii="Arial" w:hAnsi="Arial"/>
          <w:i/>
        </w:rPr>
        <w:t>Formerly a symmetrical façade of 3 windows, but with slightly later extension of 2 windows on the north side (with side entrance to second dwelling).</w:t>
      </w:r>
      <w:proofErr w:type="gramEnd"/>
      <w:r>
        <w:rPr>
          <w:rFonts w:ascii="Arial" w:hAnsi="Arial"/>
          <w:i/>
        </w:rPr>
        <w:t xml:space="preserve"> </w:t>
      </w:r>
      <w:proofErr w:type="gramStart"/>
      <w:r>
        <w:rPr>
          <w:rFonts w:ascii="Arial" w:hAnsi="Arial"/>
          <w:i/>
        </w:rPr>
        <w:t>Red tile-hipped roof, with brick dentil eaves.</w:t>
      </w:r>
      <w:proofErr w:type="gramEnd"/>
      <w:r>
        <w:rPr>
          <w:rFonts w:ascii="Arial" w:hAnsi="Arial"/>
          <w:i/>
        </w:rPr>
        <w:t xml:space="preserve"> </w:t>
      </w:r>
      <w:proofErr w:type="gramStart"/>
      <w:r>
        <w:rPr>
          <w:rFonts w:ascii="Arial" w:hAnsi="Arial"/>
          <w:i/>
        </w:rPr>
        <w:t>Brick walling in blue headers with red flush quoins, panels and high plinth.</w:t>
      </w:r>
      <w:proofErr w:type="gramEnd"/>
      <w:r>
        <w:rPr>
          <w:rFonts w:ascii="Arial" w:hAnsi="Arial"/>
          <w:i/>
        </w:rPr>
        <w:t xml:space="preserve"> </w:t>
      </w:r>
      <w:proofErr w:type="gramStart"/>
      <w:r>
        <w:rPr>
          <w:rFonts w:ascii="Arial" w:hAnsi="Arial"/>
          <w:i/>
        </w:rPr>
        <w:t>Sashes in reveals (one widened ground floor window).</w:t>
      </w:r>
      <w:proofErr w:type="gramEnd"/>
      <w:r>
        <w:rPr>
          <w:rFonts w:ascii="Arial" w:hAnsi="Arial"/>
          <w:i/>
        </w:rPr>
        <w:t xml:space="preserve"> </w:t>
      </w:r>
      <w:proofErr w:type="spellStart"/>
      <w:r>
        <w:rPr>
          <w:rFonts w:ascii="Arial" w:hAnsi="Arial"/>
          <w:i/>
        </w:rPr>
        <w:t>Doorcase</w:t>
      </w:r>
      <w:proofErr w:type="spellEnd"/>
      <w:r>
        <w:rPr>
          <w:rFonts w:ascii="Arial" w:hAnsi="Arial"/>
          <w:i/>
        </w:rPr>
        <w:t xml:space="preserve"> with broken pediment and thin pilasters, enclosing arched doorway.’</w:t>
      </w:r>
    </w:p>
    <w:p w:rsidR="00E00EA1" w:rsidRDefault="00E00EA1" w:rsidP="00E00EA1">
      <w:pPr>
        <w:ind w:left="-284"/>
        <w:rPr>
          <w:rFonts w:ascii="Arial" w:hAnsi="Arial"/>
          <w:i/>
        </w:rPr>
      </w:pPr>
    </w:p>
    <w:p w:rsidR="00E00EA1" w:rsidRDefault="00E00EA1" w:rsidP="00E00EA1">
      <w:pPr>
        <w:ind w:left="-284"/>
        <w:rPr>
          <w:rFonts w:ascii="Arial" w:hAnsi="Arial"/>
        </w:rPr>
      </w:pPr>
      <w:r>
        <w:rPr>
          <w:rFonts w:ascii="Arial" w:hAnsi="Arial"/>
        </w:rPr>
        <w:t>The Historic England website says opposite the official list entry ‘</w:t>
      </w:r>
      <w:r>
        <w:rPr>
          <w:rFonts w:ascii="Arial" w:hAnsi="Arial"/>
          <w:i/>
        </w:rPr>
        <w:t xml:space="preserve">Unless the List entry states otherwise, it includes both the structure itself and any object or structure fixed to it (whether inside or outside) as well as any object or structure within the </w:t>
      </w:r>
      <w:proofErr w:type="spellStart"/>
      <w:r>
        <w:rPr>
          <w:rFonts w:ascii="Arial" w:hAnsi="Arial"/>
          <w:i/>
        </w:rPr>
        <w:t>curtilage</w:t>
      </w:r>
      <w:proofErr w:type="spellEnd"/>
      <w:r>
        <w:rPr>
          <w:rFonts w:ascii="Arial" w:hAnsi="Arial"/>
          <w:i/>
        </w:rPr>
        <w:t xml:space="preserve"> </w:t>
      </w:r>
      <w:r>
        <w:rPr>
          <w:rFonts w:ascii="Arial" w:hAnsi="Arial"/>
        </w:rPr>
        <w:t xml:space="preserve">(boundary) </w:t>
      </w:r>
      <w:r>
        <w:rPr>
          <w:rFonts w:ascii="Arial" w:hAnsi="Arial"/>
          <w:i/>
        </w:rPr>
        <w:t xml:space="preserve">of the building.  For these purposes, to be included within the </w:t>
      </w:r>
      <w:proofErr w:type="spellStart"/>
      <w:r>
        <w:rPr>
          <w:rFonts w:ascii="Arial" w:hAnsi="Arial"/>
          <w:i/>
        </w:rPr>
        <w:t>curtilage</w:t>
      </w:r>
      <w:proofErr w:type="spellEnd"/>
      <w:r>
        <w:rPr>
          <w:rFonts w:ascii="Arial" w:hAnsi="Arial"/>
          <w:i/>
        </w:rPr>
        <w:t xml:space="preserve"> of the building, the object or structure must have formed part of the land since before 1</w:t>
      </w:r>
      <w:r w:rsidRPr="00B371D7">
        <w:rPr>
          <w:rFonts w:ascii="Arial" w:hAnsi="Arial"/>
          <w:i/>
          <w:vertAlign w:val="superscript"/>
        </w:rPr>
        <w:t>st</w:t>
      </w:r>
      <w:r>
        <w:rPr>
          <w:rFonts w:ascii="Arial" w:hAnsi="Arial"/>
          <w:i/>
        </w:rPr>
        <w:t xml:space="preserve">. July 1948.’  </w:t>
      </w:r>
      <w:r w:rsidRPr="00B371D7">
        <w:rPr>
          <w:rFonts w:ascii="Arial" w:hAnsi="Arial"/>
        </w:rPr>
        <w:t>The list entry does not state</w:t>
      </w:r>
      <w:r>
        <w:rPr>
          <w:rFonts w:ascii="Arial" w:hAnsi="Arial"/>
        </w:rPr>
        <w:t xml:space="preserve"> otherwise, so the Stables are a </w:t>
      </w:r>
      <w:proofErr w:type="spellStart"/>
      <w:r>
        <w:rPr>
          <w:rFonts w:ascii="Arial" w:hAnsi="Arial"/>
        </w:rPr>
        <w:t>curtilage</w:t>
      </w:r>
      <w:proofErr w:type="spellEnd"/>
      <w:r>
        <w:rPr>
          <w:rFonts w:ascii="Arial" w:hAnsi="Arial"/>
        </w:rPr>
        <w:t xml:space="preserve"> building to No.7 requiring LBC for any changes to it.</w:t>
      </w:r>
    </w:p>
    <w:p w:rsidR="00E00EA1" w:rsidRDefault="00E00EA1" w:rsidP="00E00EA1">
      <w:pPr>
        <w:ind w:left="-284"/>
        <w:rPr>
          <w:rFonts w:ascii="Arial" w:hAnsi="Arial"/>
        </w:rPr>
      </w:pPr>
    </w:p>
    <w:p w:rsidR="00E00EA1" w:rsidRDefault="00E00EA1" w:rsidP="00E00EA1">
      <w:pPr>
        <w:ind w:left="-284"/>
        <w:rPr>
          <w:rFonts w:ascii="Arial" w:hAnsi="Arial"/>
          <w:b/>
        </w:rPr>
      </w:pPr>
      <w:r>
        <w:rPr>
          <w:rFonts w:ascii="Arial" w:hAnsi="Arial"/>
          <w:b/>
        </w:rPr>
        <w:t>The Proposal.</w:t>
      </w:r>
    </w:p>
    <w:p w:rsidR="00E00EA1" w:rsidRDefault="00E00EA1" w:rsidP="00E00EA1">
      <w:pPr>
        <w:ind w:left="-284" w:right="-205"/>
        <w:rPr>
          <w:rFonts w:ascii="Arial" w:hAnsi="Arial"/>
        </w:rPr>
      </w:pPr>
      <w:r>
        <w:rPr>
          <w:rFonts w:ascii="Arial" w:hAnsi="Arial"/>
        </w:rPr>
        <w:t xml:space="preserve">The principle of this building being changed from office use to dwelling or guest house is no problem from a building conservation viewpoint and would indeed be a suitable use which will benefit the structure and help to keep it in good order, however the large area of timber boarding, where perhaps a garage opening was crudely made, detracts from both properties and ideally would be better returned to matching brickwork.  </w:t>
      </w:r>
    </w:p>
    <w:p w:rsidR="00E00EA1" w:rsidRDefault="00E00EA1" w:rsidP="00E00EA1">
      <w:pPr>
        <w:ind w:left="-284" w:right="-205"/>
        <w:rPr>
          <w:rFonts w:ascii="Arial" w:hAnsi="Arial"/>
        </w:rPr>
      </w:pPr>
    </w:p>
    <w:p w:rsidR="00E00EA1" w:rsidRDefault="00E00EA1" w:rsidP="00E00EA1">
      <w:pPr>
        <w:ind w:left="-284" w:right="-205"/>
        <w:rPr>
          <w:rFonts w:ascii="Arial" w:hAnsi="Arial"/>
          <w:b/>
        </w:rPr>
      </w:pPr>
      <w:r>
        <w:rPr>
          <w:rFonts w:ascii="Arial" w:hAnsi="Arial"/>
          <w:b/>
        </w:rPr>
        <w:t>Conclusion.</w:t>
      </w:r>
    </w:p>
    <w:p w:rsidR="00E00EA1" w:rsidRPr="00BE4F6E" w:rsidRDefault="00E00EA1" w:rsidP="00E00EA1">
      <w:pPr>
        <w:ind w:left="-284" w:right="-205"/>
        <w:rPr>
          <w:rFonts w:ascii="Arial" w:hAnsi="Arial"/>
        </w:rPr>
      </w:pPr>
      <w:r w:rsidRPr="00BE4F6E">
        <w:rPr>
          <w:rFonts w:ascii="Arial" w:hAnsi="Arial"/>
        </w:rPr>
        <w:t xml:space="preserve">This is a </w:t>
      </w:r>
      <w:proofErr w:type="spellStart"/>
      <w:r w:rsidRPr="00BE4F6E">
        <w:rPr>
          <w:rFonts w:ascii="Arial" w:hAnsi="Arial"/>
        </w:rPr>
        <w:t>curtilage</w:t>
      </w:r>
      <w:proofErr w:type="spellEnd"/>
      <w:r w:rsidRPr="00BE4F6E">
        <w:rPr>
          <w:rFonts w:ascii="Arial" w:hAnsi="Arial"/>
        </w:rPr>
        <w:t xml:space="preserve"> building to No.7</w:t>
      </w:r>
      <w:r>
        <w:rPr>
          <w:rFonts w:ascii="Arial" w:hAnsi="Arial"/>
        </w:rPr>
        <w:t xml:space="preserve">, built against </w:t>
      </w:r>
      <w:proofErr w:type="gramStart"/>
      <w:r>
        <w:rPr>
          <w:rFonts w:ascii="Arial" w:hAnsi="Arial"/>
        </w:rPr>
        <w:t>No.5 which</w:t>
      </w:r>
      <w:proofErr w:type="gramEnd"/>
      <w:r>
        <w:rPr>
          <w:rFonts w:ascii="Arial" w:hAnsi="Arial"/>
        </w:rPr>
        <w:t xml:space="preserve"> is also listed and is a significant element of the setting of both buildings.  The change of use is no problem but the internal alterations will require Listed Building Consent.  No objection to the change of use.</w:t>
      </w:r>
    </w:p>
    <w:p w:rsidR="00E00EA1" w:rsidRPr="00BE4F6E" w:rsidRDefault="00E00EA1" w:rsidP="00E00EA1">
      <w:pPr>
        <w:ind w:left="-284" w:right="-205"/>
        <w:rPr>
          <w:rFonts w:ascii="Arial" w:hAnsi="Arial"/>
        </w:rPr>
      </w:pPr>
    </w:p>
    <w:p w:rsidR="00E00EA1" w:rsidRDefault="00E00EA1" w:rsidP="00E00EA1">
      <w:pPr>
        <w:ind w:left="-284" w:right="-205"/>
        <w:rPr>
          <w:rFonts w:ascii="Arial" w:hAnsi="Arial"/>
        </w:rPr>
      </w:pPr>
      <w:r>
        <w:rPr>
          <w:rFonts w:ascii="Arial" w:hAnsi="Arial"/>
        </w:rPr>
        <w:t>19.12.2025.</w:t>
      </w:r>
    </w:p>
    <w:p w:rsidR="00E00EA1" w:rsidRDefault="00E00EA1" w:rsidP="00E00EA1">
      <w:pPr>
        <w:ind w:left="-284" w:right="-205"/>
        <w:rPr>
          <w:rFonts w:ascii="Arial" w:hAnsi="Arial"/>
        </w:rPr>
      </w:pPr>
    </w:p>
    <w:p w:rsidR="00E00EA1" w:rsidRPr="00C12530" w:rsidRDefault="00E00EA1" w:rsidP="00E00EA1">
      <w:pPr>
        <w:ind w:left="-284" w:right="-205"/>
        <w:rPr>
          <w:rFonts w:ascii="Arial" w:hAnsi="Arial"/>
        </w:rPr>
      </w:pPr>
      <w:r w:rsidRPr="00FF2B58">
        <w:rPr>
          <w:rFonts w:ascii="Arial" w:hAnsi="Arial"/>
          <w:b/>
          <w:color w:val="0000FF"/>
          <w:shd w:val="clear" w:color="auto" w:fill="FFFFFF"/>
        </w:rPr>
        <w:t>Tim J S Dyer,</w:t>
      </w:r>
      <w:r w:rsidRPr="00FF2B58">
        <w:rPr>
          <w:rFonts w:ascii="Arial" w:hAnsi="Arial"/>
          <w:color w:val="0000FF"/>
        </w:rPr>
        <w:t> </w:t>
      </w:r>
      <w:proofErr w:type="spellStart"/>
      <w:r w:rsidRPr="00FF2B58">
        <w:rPr>
          <w:rFonts w:ascii="Arial" w:hAnsi="Arial"/>
          <w:color w:val="666666"/>
          <w:sz w:val="15"/>
          <w:szCs w:val="15"/>
          <w:shd w:val="clear" w:color="auto" w:fill="FFFFFF"/>
        </w:rPr>
        <w:t>B.Sc.</w:t>
      </w:r>
      <w:proofErr w:type="gramStart"/>
      <w:r w:rsidRPr="00FF2B58">
        <w:rPr>
          <w:rFonts w:ascii="Arial" w:hAnsi="Arial"/>
          <w:color w:val="666666"/>
          <w:sz w:val="15"/>
          <w:szCs w:val="15"/>
          <w:shd w:val="clear" w:color="auto" w:fill="FFFFFF"/>
        </w:rPr>
        <w:t>,Dip.Arch</w:t>
      </w:r>
      <w:proofErr w:type="spellEnd"/>
      <w:proofErr w:type="gramEnd"/>
      <w:r w:rsidRPr="00FF2B58">
        <w:rPr>
          <w:rFonts w:ascii="Arial" w:hAnsi="Arial"/>
          <w:color w:val="666666"/>
          <w:sz w:val="15"/>
          <w:szCs w:val="15"/>
          <w:shd w:val="clear" w:color="auto" w:fill="FFFFFF"/>
        </w:rPr>
        <w:t>.(</w:t>
      </w:r>
      <w:proofErr w:type="spellStart"/>
      <w:r w:rsidRPr="00FF2B58">
        <w:rPr>
          <w:rFonts w:ascii="Arial" w:hAnsi="Arial"/>
          <w:color w:val="666666"/>
          <w:sz w:val="15"/>
          <w:szCs w:val="15"/>
          <w:shd w:val="clear" w:color="auto" w:fill="FFFFFF"/>
        </w:rPr>
        <w:t>Birm</w:t>
      </w:r>
      <w:proofErr w:type="spellEnd"/>
      <w:r w:rsidRPr="00FF2B58">
        <w:rPr>
          <w:rFonts w:ascii="Arial" w:hAnsi="Arial"/>
          <w:color w:val="666666"/>
          <w:sz w:val="15"/>
          <w:szCs w:val="15"/>
          <w:shd w:val="clear" w:color="auto" w:fill="FFFFFF"/>
        </w:rPr>
        <w:t xml:space="preserve">), </w:t>
      </w:r>
      <w:proofErr w:type="spellStart"/>
      <w:r w:rsidRPr="00FF2B58">
        <w:rPr>
          <w:rFonts w:ascii="Arial" w:hAnsi="Arial"/>
          <w:color w:val="666666"/>
          <w:sz w:val="15"/>
          <w:szCs w:val="15"/>
          <w:shd w:val="clear" w:color="auto" w:fill="FFFFFF"/>
        </w:rPr>
        <w:t>Grad.Dip.Conservation</w:t>
      </w:r>
      <w:proofErr w:type="spellEnd"/>
      <w:r w:rsidRPr="00FF2B58">
        <w:rPr>
          <w:rFonts w:ascii="Arial" w:hAnsi="Arial"/>
          <w:color w:val="666666"/>
          <w:sz w:val="15"/>
          <w:szCs w:val="15"/>
          <w:shd w:val="clear" w:color="auto" w:fill="FFFFFF"/>
        </w:rPr>
        <w:t>(AA), RIBA.</w:t>
      </w:r>
      <w:r>
        <w:rPr>
          <w:rFonts w:ascii="Arial" w:hAnsi="Arial"/>
          <w:color w:val="666666"/>
          <w:sz w:val="15"/>
          <w:szCs w:val="15"/>
          <w:shd w:val="clear" w:color="auto" w:fill="FFFFFF"/>
        </w:rPr>
        <w:t xml:space="preserve"> </w:t>
      </w:r>
      <w:proofErr w:type="gramStart"/>
      <w:r w:rsidRPr="00FF2B58">
        <w:rPr>
          <w:rFonts w:ascii="Arial" w:hAnsi="Arial"/>
          <w:color w:val="0000FF"/>
          <w:sz w:val="15"/>
          <w:szCs w:val="15"/>
        </w:rPr>
        <w:t>Built Heritage Consultant.</w:t>
      </w:r>
      <w:proofErr w:type="gramEnd"/>
      <w:r w:rsidRPr="00FF2B58">
        <w:rPr>
          <w:rFonts w:ascii="Arial" w:hAnsi="Arial"/>
          <w:color w:val="222222"/>
        </w:rPr>
        <w:t> </w:t>
      </w:r>
    </w:p>
    <w:p w:rsidR="00E00EA1" w:rsidRPr="00FF2B58" w:rsidRDefault="00E00EA1" w:rsidP="00E00EA1">
      <w:pPr>
        <w:ind w:left="-284" w:right="-205"/>
        <w:rPr>
          <w:rFonts w:ascii="Arial" w:hAnsi="Arial"/>
        </w:rPr>
      </w:pPr>
    </w:p>
    <w:p w:rsidR="00E00EA1" w:rsidRDefault="00E00EA1"/>
    <w:sectPr w:rsidR="00E00EA1" w:rsidSect="00E00EA1">
      <w:pgSz w:w="11900" w:h="16840"/>
      <w:pgMar w:top="1135"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E00EA1"/>
    <w:rsid w:val="00E00EA1"/>
    <w:rsid w:val="00FC2DAD"/>
  </w:rsids>
  <m:mathPr>
    <m:mathFont m:val="Times New Roman"/>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EA1"/>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Word 12.1.0</Application>
  <DocSecurity>0</DocSecurity>
  <Lines>1</Lines>
  <Paragraphs>1</Paragraphs>
  <ScaleCrop>false</ScaleCrop>
  <LinksUpToDate>false</LinksUpToDate>
  <CharactersWithSpaces>0</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cp:lastModifiedBy>Office 2004 Test Drive User</cp:lastModifiedBy>
  <cp:revision>3</cp:revision>
  <dcterms:created xsi:type="dcterms:W3CDTF">2025-12-19T12:32:00Z</dcterms:created>
  <dcterms:modified xsi:type="dcterms:W3CDTF">2025-12-19T12:32:00Z</dcterms:modified>
</cp:coreProperties>
</file>