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4760" w14:textId="77777777" w:rsidR="00DA2ECF" w:rsidRDefault="00DA2ECF" w:rsidP="00960C52">
      <w:pPr>
        <w:spacing w:line="276" w:lineRule="auto"/>
        <w:jc w:val="right"/>
        <w:rPr>
          <w:rFonts w:ascii="Arial" w:hAnsi="Arial" w:cs="Arial"/>
          <w:noProof/>
          <w:color w:val="404040"/>
          <w:sz w:val="32"/>
          <w:szCs w:val="32"/>
        </w:rPr>
      </w:pPr>
    </w:p>
    <w:p w14:paraId="1A63DAD6" w14:textId="77777777" w:rsidR="00DA2ECF" w:rsidRPr="007B7D72" w:rsidRDefault="00F20531" w:rsidP="00491DBE">
      <w:pPr>
        <w:spacing w:line="276" w:lineRule="auto"/>
        <w:jc w:val="center"/>
        <w:rPr>
          <w:rFonts w:ascii="Arial" w:hAnsi="Arial" w:cs="Arial"/>
          <w:sz w:val="32"/>
          <w:szCs w:val="32"/>
        </w:rPr>
      </w:pPr>
      <w:r w:rsidRPr="007B7D72">
        <w:rPr>
          <w:rFonts w:ascii="Arial" w:hAnsi="Arial" w:cs="Arial"/>
          <w:sz w:val="32"/>
          <w:szCs w:val="32"/>
        </w:rPr>
        <w:t xml:space="preserve">Habitat Regulation Assessment (HRA) </w:t>
      </w:r>
    </w:p>
    <w:p w14:paraId="03CEF69F" w14:textId="77777777" w:rsidR="00DA2ECF" w:rsidRPr="007B7D72" w:rsidRDefault="00F20531" w:rsidP="00491DBE">
      <w:pPr>
        <w:spacing w:line="276" w:lineRule="auto"/>
        <w:jc w:val="center"/>
        <w:rPr>
          <w:rFonts w:ascii="Arial" w:hAnsi="Arial" w:cs="Arial"/>
          <w:sz w:val="32"/>
          <w:szCs w:val="32"/>
        </w:rPr>
      </w:pPr>
      <w:r w:rsidRPr="007B7D72">
        <w:rPr>
          <w:rFonts w:ascii="Arial" w:hAnsi="Arial" w:cs="Arial"/>
          <w:sz w:val="32"/>
          <w:szCs w:val="32"/>
        </w:rPr>
        <w:t>Screening Matrix and Appropriate Assessment Statement</w:t>
      </w:r>
    </w:p>
    <w:p w14:paraId="35D7F20D" w14:textId="77777777" w:rsidR="00DA2ECF" w:rsidRPr="007B7D72" w:rsidRDefault="00DA2ECF" w:rsidP="00491DBE">
      <w:pPr>
        <w:spacing w:line="276" w:lineRule="auto"/>
        <w:jc w:val="center"/>
        <w:rPr>
          <w:rFonts w:ascii="Arial" w:hAnsi="Arial" w:cs="Arial"/>
          <w:sz w:val="20"/>
          <w:szCs w:val="20"/>
        </w:rPr>
      </w:pPr>
    </w:p>
    <w:p w14:paraId="386DB0B8" w14:textId="77777777" w:rsidR="00DA2ECF" w:rsidRPr="007B7D72" w:rsidRDefault="00F20531" w:rsidP="00491DBE">
      <w:pPr>
        <w:spacing w:line="276" w:lineRule="auto"/>
        <w:jc w:val="center"/>
        <w:rPr>
          <w:rFonts w:ascii="Arial" w:hAnsi="Arial" w:cs="Arial"/>
          <w:b/>
          <w:sz w:val="20"/>
          <w:szCs w:val="20"/>
        </w:rPr>
      </w:pPr>
      <w:r w:rsidRPr="007B7D72">
        <w:rPr>
          <w:rFonts w:ascii="Arial" w:hAnsi="Arial" w:cs="Arial"/>
          <w:b/>
          <w:sz w:val="20"/>
          <w:szCs w:val="20"/>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63214E12" w14:textId="77777777" w:rsidR="00DA2ECF" w:rsidRDefault="00DA2ECF"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EA0957" w14:paraId="6B58AB7A"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0FBCF078" w14:textId="77777777" w:rsidR="00DA2ECF" w:rsidRDefault="00F2053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5E61DC98" w14:textId="45D82471" w:rsidR="00DA2ECF" w:rsidRPr="00BC60E6" w:rsidRDefault="007E2C68">
            <w:pPr>
              <w:spacing w:line="276" w:lineRule="auto"/>
              <w:rPr>
                <w:rFonts w:ascii="Arial" w:hAnsi="Arial" w:cs="Arial"/>
                <w:sz w:val="22"/>
                <w:szCs w:val="22"/>
              </w:rPr>
            </w:pPr>
            <w:r>
              <w:rPr>
                <w:rFonts w:ascii="Arial" w:hAnsi="Arial" w:cs="Arial"/>
                <w:sz w:val="22"/>
                <w:szCs w:val="22"/>
              </w:rPr>
              <w:t>6/1/26</w:t>
            </w:r>
          </w:p>
        </w:tc>
      </w:tr>
      <w:tr w:rsidR="00EA0957" w14:paraId="4F7FE737"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3B7559D" w14:textId="77777777" w:rsidR="00DA2ECF" w:rsidRDefault="00F2053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6B5C5042" w14:textId="14ECDA0C" w:rsidR="00DA2ECF" w:rsidRPr="00BC60E6" w:rsidRDefault="007E2C68">
            <w:pPr>
              <w:spacing w:line="276" w:lineRule="auto"/>
              <w:rPr>
                <w:rFonts w:ascii="Arial" w:hAnsi="Arial" w:cs="Arial"/>
                <w:sz w:val="22"/>
                <w:szCs w:val="22"/>
              </w:rPr>
            </w:pPr>
            <w:r>
              <w:rPr>
                <w:rFonts w:ascii="Arial" w:hAnsi="Arial" w:cs="Arial"/>
                <w:sz w:val="22"/>
                <w:szCs w:val="22"/>
              </w:rPr>
              <w:t>6/1/26</w:t>
            </w:r>
          </w:p>
        </w:tc>
      </w:tr>
      <w:tr w:rsidR="00EA0957" w14:paraId="66559159"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8D610E7" w14:textId="77777777" w:rsidR="00DA2ECF" w:rsidRDefault="00F20531">
            <w:pPr>
              <w:spacing w:line="276" w:lineRule="auto"/>
              <w:rPr>
                <w:rFonts w:ascii="Arial" w:hAnsi="Arial" w:cs="Arial"/>
                <w:color w:val="404040"/>
              </w:rPr>
            </w:pPr>
            <w:r>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47536BA6" w14:textId="40808AEF" w:rsidR="00DA2ECF" w:rsidRPr="00BC60E6" w:rsidRDefault="000C4E07">
            <w:pPr>
              <w:spacing w:line="276" w:lineRule="auto"/>
              <w:rPr>
                <w:rFonts w:ascii="Arial" w:hAnsi="Arial" w:cs="Arial"/>
                <w:color w:val="000000"/>
                <w:sz w:val="22"/>
                <w:szCs w:val="22"/>
                <w:shd w:val="clear" w:color="auto" w:fill="FFFFFF"/>
              </w:rPr>
            </w:pPr>
            <w:r w:rsidRPr="00BC60E6">
              <w:rPr>
                <w:rFonts w:ascii="Arial" w:hAnsi="Arial" w:cs="Arial"/>
                <w:color w:val="000000"/>
                <w:sz w:val="22"/>
                <w:szCs w:val="22"/>
                <w:shd w:val="clear" w:color="auto" w:fill="FFFFFF"/>
              </w:rPr>
              <w:t>F/25/</w:t>
            </w:r>
            <w:r w:rsidR="007E2C68">
              <w:rPr>
                <w:rFonts w:ascii="Arial" w:hAnsi="Arial" w:cs="Arial"/>
                <w:color w:val="000000"/>
                <w:sz w:val="22"/>
                <w:szCs w:val="22"/>
                <w:shd w:val="clear" w:color="auto" w:fill="FFFFFF"/>
              </w:rPr>
              <w:t>100193</w:t>
            </w:r>
          </w:p>
        </w:tc>
      </w:tr>
      <w:tr w:rsidR="00EA0957" w14:paraId="53FC8C4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BB5FF8F" w14:textId="77777777" w:rsidR="00DA2ECF" w:rsidRDefault="00F20531">
            <w:pPr>
              <w:spacing w:line="276" w:lineRule="auto"/>
              <w:rPr>
                <w:rFonts w:ascii="Arial" w:hAnsi="Arial" w:cs="Arial"/>
                <w:color w:val="404040"/>
              </w:rPr>
            </w:pPr>
            <w:r>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101A174D" w14:textId="5D3A2958" w:rsidR="00DA2ECF" w:rsidRPr="00BC60E6" w:rsidRDefault="007E2C68">
            <w:pPr>
              <w:spacing w:line="276" w:lineRule="auto"/>
              <w:rPr>
                <w:rFonts w:ascii="Arial" w:hAnsi="Arial" w:cs="Arial"/>
                <w:sz w:val="22"/>
                <w:szCs w:val="22"/>
              </w:rPr>
            </w:pPr>
            <w:r>
              <w:rPr>
                <w:rFonts w:ascii="Segoe UI" w:hAnsi="Segoe UI" w:cs="Segoe UI"/>
                <w:color w:val="181818"/>
                <w:sz w:val="21"/>
                <w:szCs w:val="21"/>
                <w:shd w:val="clear" w:color="auto" w:fill="FFFFFF"/>
              </w:rPr>
              <w:t>253 WINCHESTER ROAD, CHANDLER'S FORD, EASTLEIGH, SO53 2DX</w:t>
            </w:r>
          </w:p>
        </w:tc>
      </w:tr>
      <w:tr w:rsidR="00EA0957" w14:paraId="45B44D00"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1A9F9A67" w14:textId="77777777" w:rsidR="00DA2ECF" w:rsidRDefault="00F20531">
            <w:pPr>
              <w:spacing w:line="276" w:lineRule="auto"/>
              <w:rPr>
                <w:rFonts w:ascii="Arial" w:hAnsi="Arial" w:cs="Arial"/>
                <w:color w:val="404040"/>
              </w:rPr>
            </w:pPr>
            <w:r>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77F323E0" w14:textId="5E86FA0F" w:rsidR="00DA2ECF" w:rsidRPr="00BC60E6" w:rsidRDefault="00407D29">
            <w:pPr>
              <w:pStyle w:val="DefaultText"/>
              <w:rPr>
                <w:rFonts w:cs="Arial"/>
                <w:sz w:val="22"/>
                <w:szCs w:val="22"/>
                <w:shd w:val="clear" w:color="auto" w:fill="FFFFFF"/>
              </w:rPr>
            </w:pPr>
            <w:r>
              <w:rPr>
                <w:rFonts w:ascii="Segoe UI" w:hAnsi="Segoe UI" w:cs="Segoe UI"/>
                <w:color w:val="181818"/>
                <w:sz w:val="21"/>
                <w:szCs w:val="21"/>
                <w:shd w:val="clear" w:color="auto" w:fill="FFFFFF"/>
              </w:rPr>
              <w:t>Construction of 2no. semi detached dwellings with associated / car parking / bin store / cycle storage, following the demolition of existing dwelling.</w:t>
            </w:r>
          </w:p>
        </w:tc>
      </w:tr>
      <w:tr w:rsidR="00EA0957" w14:paraId="6C85963C"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30FABFF5" w14:textId="77777777" w:rsidR="00DA2ECF" w:rsidRDefault="00F20531">
            <w:pPr>
              <w:spacing w:line="276" w:lineRule="auto"/>
              <w:rPr>
                <w:rFonts w:ascii="Arial" w:hAnsi="Arial" w:cs="Arial"/>
                <w:color w:val="404040"/>
                <w:sz w:val="22"/>
                <w:szCs w:val="22"/>
              </w:rPr>
            </w:pPr>
            <w:r>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1EA2F45F" w14:textId="42938082" w:rsidR="00DA2ECF" w:rsidRPr="00BC60E6" w:rsidRDefault="00EA3141">
            <w:pPr>
              <w:spacing w:line="276" w:lineRule="auto"/>
              <w:rPr>
                <w:rFonts w:ascii="Arial" w:hAnsi="Arial" w:cs="Arial"/>
                <w:sz w:val="22"/>
                <w:szCs w:val="22"/>
              </w:rPr>
            </w:pPr>
            <w:r w:rsidRPr="00BC60E6">
              <w:rPr>
                <w:rFonts w:ascii="Arial" w:hAnsi="Arial" w:cs="Arial"/>
                <w:sz w:val="22"/>
                <w:szCs w:val="22"/>
              </w:rPr>
              <w:t>Nick Parker</w:t>
            </w:r>
          </w:p>
        </w:tc>
      </w:tr>
      <w:tr w:rsidR="00EA0957" w14:paraId="08DF2DA1"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BE15EB3" w14:textId="77777777" w:rsidR="00DA2ECF" w:rsidRDefault="00F20531">
            <w:pPr>
              <w:spacing w:line="276" w:lineRule="auto"/>
              <w:rPr>
                <w:rFonts w:ascii="Arial" w:hAnsi="Arial" w:cs="Arial"/>
                <w:color w:val="404040"/>
                <w:sz w:val="22"/>
                <w:szCs w:val="22"/>
              </w:rPr>
            </w:pPr>
            <w:r>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6FFAF03C" w14:textId="5FEB92C9" w:rsidR="00DA2ECF" w:rsidRPr="00BC60E6" w:rsidRDefault="000C4E07">
            <w:pPr>
              <w:spacing w:line="276" w:lineRule="auto"/>
              <w:rPr>
                <w:rFonts w:ascii="Arial" w:hAnsi="Arial" w:cs="Arial"/>
                <w:sz w:val="22"/>
                <w:szCs w:val="22"/>
              </w:rPr>
            </w:pPr>
            <w:r w:rsidRPr="00BC60E6">
              <w:rPr>
                <w:rFonts w:ascii="Arial" w:hAnsi="Arial" w:cs="Arial"/>
                <w:sz w:val="22"/>
                <w:szCs w:val="22"/>
              </w:rPr>
              <w:t>Clare Martin</w:t>
            </w:r>
          </w:p>
        </w:tc>
      </w:tr>
      <w:tr w:rsidR="00EA0957" w14:paraId="3CAB592A"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74E62877" w14:textId="77777777" w:rsidR="00DA2ECF" w:rsidRDefault="00F20531">
            <w:pPr>
              <w:spacing w:line="276" w:lineRule="auto"/>
              <w:rPr>
                <w:rFonts w:ascii="Arial" w:hAnsi="Arial" w:cs="Arial"/>
                <w:sz w:val="16"/>
                <w:szCs w:val="16"/>
              </w:rPr>
            </w:pPr>
            <w:r>
              <w:rPr>
                <w:rFonts w:ascii="Arial" w:hAnsi="Arial" w:cs="Arial"/>
                <w:sz w:val="16"/>
                <w:szCs w:val="16"/>
              </w:rPr>
              <w:t>Please note that all references in this assessment to the ‘Habitats Regulations’ refer to The Conservation of Habitats and Species Regulations 2017.</w:t>
            </w:r>
          </w:p>
        </w:tc>
      </w:tr>
    </w:tbl>
    <w:p w14:paraId="14886485" w14:textId="77777777" w:rsidR="00DA2ECF" w:rsidRDefault="00DA2ECF" w:rsidP="00491DBE">
      <w:pPr>
        <w:spacing w:line="276" w:lineRule="auto"/>
        <w:jc w:val="center"/>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EA0957" w14:paraId="3D90BEFE" w14:textId="77777777" w:rsidTr="00376970">
        <w:tc>
          <w:tcPr>
            <w:tcW w:w="9608" w:type="dxa"/>
            <w:gridSpan w:val="2"/>
            <w:tcBorders>
              <w:top w:val="single" w:sz="12" w:space="0" w:color="0083BE"/>
            </w:tcBorders>
            <w:shd w:val="clear" w:color="auto" w:fill="70AD47" w:themeFill="accent6"/>
          </w:tcPr>
          <w:p w14:paraId="4F850800"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EA0957" w14:paraId="7C52152A" w14:textId="77777777" w:rsidTr="00376970">
        <w:tc>
          <w:tcPr>
            <w:tcW w:w="4820" w:type="dxa"/>
            <w:shd w:val="clear" w:color="auto" w:fill="A8D08D" w:themeFill="accent6" w:themeFillTint="99"/>
          </w:tcPr>
          <w:p w14:paraId="74FBEBB0"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788" w:type="dxa"/>
          </w:tcPr>
          <w:p w14:paraId="318D3EC7" w14:textId="5EC2378A" w:rsidR="00B109C3" w:rsidRDefault="00B109C3" w:rsidP="00BF6948">
            <w:pPr>
              <w:spacing w:line="276" w:lineRule="auto"/>
              <w:rPr>
                <w:rFonts w:ascii="Arial" w:hAnsi="Arial" w:cs="Arial"/>
                <w:sz w:val="22"/>
                <w:szCs w:val="22"/>
              </w:rPr>
            </w:pPr>
            <w:r>
              <w:rPr>
                <w:rFonts w:ascii="Arial" w:hAnsi="Arial" w:cs="Arial"/>
                <w:sz w:val="22"/>
                <w:szCs w:val="22"/>
              </w:rPr>
              <w:t>River Itchen SPA</w:t>
            </w:r>
          </w:p>
          <w:p w14:paraId="0A29EBD8" w14:textId="1C778DF2" w:rsidR="00876A58" w:rsidRDefault="00876A58" w:rsidP="00BF6948">
            <w:pPr>
              <w:spacing w:line="276" w:lineRule="auto"/>
              <w:rPr>
                <w:rFonts w:ascii="Arial" w:hAnsi="Arial" w:cs="Arial"/>
                <w:sz w:val="22"/>
                <w:szCs w:val="22"/>
              </w:rPr>
            </w:pPr>
            <w:r>
              <w:rPr>
                <w:rFonts w:ascii="Arial" w:hAnsi="Arial" w:cs="Arial"/>
                <w:sz w:val="22"/>
                <w:szCs w:val="22"/>
              </w:rPr>
              <w:t>Solent and Dorset Coast SPA</w:t>
            </w:r>
          </w:p>
          <w:p w14:paraId="311B45B0" w14:textId="77777777" w:rsidR="00876A58" w:rsidRDefault="00876A58" w:rsidP="00BF6948">
            <w:pPr>
              <w:spacing w:line="276" w:lineRule="auto"/>
              <w:rPr>
                <w:rFonts w:ascii="Arial" w:hAnsi="Arial" w:cs="Arial"/>
                <w:sz w:val="22"/>
                <w:szCs w:val="22"/>
              </w:rPr>
            </w:pPr>
            <w:r>
              <w:rPr>
                <w:rFonts w:ascii="Arial" w:hAnsi="Arial" w:cs="Arial"/>
                <w:sz w:val="22"/>
                <w:szCs w:val="22"/>
              </w:rPr>
              <w:t>Portsmouth Harbour SPA and Ramsar Site</w:t>
            </w:r>
          </w:p>
          <w:p w14:paraId="46308F99" w14:textId="77777777" w:rsidR="00876A58" w:rsidRDefault="00876A58" w:rsidP="00BF6948">
            <w:pPr>
              <w:spacing w:line="276" w:lineRule="auto"/>
              <w:rPr>
                <w:rFonts w:ascii="Arial" w:hAnsi="Arial" w:cs="Arial"/>
                <w:sz w:val="22"/>
                <w:szCs w:val="22"/>
              </w:rPr>
            </w:pPr>
            <w:r>
              <w:rPr>
                <w:rFonts w:ascii="Arial" w:hAnsi="Arial" w:cs="Arial"/>
                <w:sz w:val="22"/>
                <w:szCs w:val="22"/>
              </w:rPr>
              <w:t>Chichester and Langstone Harbours SPA</w:t>
            </w:r>
          </w:p>
          <w:p w14:paraId="3D6694DA" w14:textId="77777777" w:rsidR="00876A58" w:rsidRDefault="00876A58" w:rsidP="00BF6948">
            <w:pPr>
              <w:spacing w:line="276" w:lineRule="auto"/>
              <w:rPr>
                <w:rFonts w:ascii="Arial" w:hAnsi="Arial" w:cs="Arial"/>
                <w:sz w:val="22"/>
                <w:szCs w:val="22"/>
              </w:rPr>
            </w:pPr>
            <w:r>
              <w:rPr>
                <w:rFonts w:ascii="Arial" w:hAnsi="Arial" w:cs="Arial"/>
                <w:sz w:val="22"/>
                <w:szCs w:val="22"/>
              </w:rPr>
              <w:t>Solent Maritime SAC</w:t>
            </w:r>
          </w:p>
          <w:p w14:paraId="3352C4AD" w14:textId="77777777" w:rsidR="00D2747D" w:rsidRDefault="00876A58" w:rsidP="00BF6948">
            <w:pPr>
              <w:spacing w:line="276" w:lineRule="auto"/>
              <w:rPr>
                <w:rFonts w:ascii="Arial" w:hAnsi="Arial" w:cs="Arial"/>
                <w:sz w:val="22"/>
                <w:szCs w:val="22"/>
              </w:rPr>
            </w:pPr>
            <w:r>
              <w:rPr>
                <w:rFonts w:ascii="Arial" w:hAnsi="Arial" w:cs="Arial"/>
                <w:sz w:val="22"/>
                <w:szCs w:val="22"/>
              </w:rPr>
              <w:t>Solent and Southampton Water SPA</w:t>
            </w:r>
            <w:r w:rsidR="004124B1">
              <w:rPr>
                <w:rFonts w:ascii="Arial" w:hAnsi="Arial" w:cs="Arial"/>
                <w:sz w:val="22"/>
                <w:szCs w:val="22"/>
              </w:rPr>
              <w:t xml:space="preserve"> </w:t>
            </w:r>
          </w:p>
          <w:p w14:paraId="7F8DC1D5" w14:textId="5AFBDD19" w:rsidR="00734307" w:rsidRPr="00BF6948" w:rsidRDefault="00734307" w:rsidP="00BF6948">
            <w:pPr>
              <w:spacing w:line="276" w:lineRule="auto"/>
              <w:rPr>
                <w:rFonts w:ascii="Arial" w:hAnsi="Arial" w:cs="Arial"/>
                <w:sz w:val="22"/>
                <w:szCs w:val="22"/>
              </w:rPr>
            </w:pPr>
            <w:r>
              <w:rPr>
                <w:rFonts w:ascii="Arial" w:hAnsi="Arial" w:cs="Arial"/>
                <w:sz w:val="22"/>
                <w:szCs w:val="22"/>
              </w:rPr>
              <w:t>New Forest SPA</w:t>
            </w:r>
            <w:r w:rsidR="004B51C0">
              <w:rPr>
                <w:rFonts w:ascii="Arial" w:hAnsi="Arial" w:cs="Arial"/>
                <w:sz w:val="22"/>
                <w:szCs w:val="22"/>
              </w:rPr>
              <w:t>, SAC and Ramsar Site</w:t>
            </w:r>
          </w:p>
        </w:tc>
      </w:tr>
      <w:tr w:rsidR="00EA0957" w14:paraId="01A8BA6A" w14:textId="77777777" w:rsidTr="00376970">
        <w:tc>
          <w:tcPr>
            <w:tcW w:w="4820" w:type="dxa"/>
            <w:shd w:val="clear" w:color="auto" w:fill="A8D08D" w:themeFill="accent6" w:themeFillTint="99"/>
          </w:tcPr>
          <w:p w14:paraId="7402F825"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788" w:type="dxa"/>
          </w:tcPr>
          <w:p w14:paraId="30F6A871" w14:textId="72682BBB" w:rsidR="00DA2ECF" w:rsidRPr="00BF6948" w:rsidRDefault="00F20531" w:rsidP="000163E7">
            <w:pPr>
              <w:spacing w:line="276" w:lineRule="auto"/>
              <w:rPr>
                <w:rFonts w:ascii="Arial" w:hAnsi="Arial" w:cs="Arial"/>
                <w:sz w:val="22"/>
                <w:szCs w:val="22"/>
              </w:rPr>
            </w:pPr>
            <w:r w:rsidRPr="00BF6948">
              <w:rPr>
                <w:rFonts w:ascii="Arial" w:hAnsi="Arial" w:cs="Arial"/>
                <w:sz w:val="22"/>
                <w:szCs w:val="22"/>
              </w:rPr>
              <w:t>No. The develo</w:t>
            </w:r>
            <w:r>
              <w:rPr>
                <w:rFonts w:ascii="Arial" w:hAnsi="Arial" w:cs="Arial"/>
                <w:sz w:val="22"/>
                <w:szCs w:val="22"/>
              </w:rPr>
              <w:t>pment consists of</w:t>
            </w:r>
            <w:r w:rsidR="009C5160">
              <w:rPr>
                <w:rFonts w:ascii="Arial" w:hAnsi="Arial" w:cs="Arial"/>
                <w:sz w:val="22"/>
                <w:szCs w:val="22"/>
              </w:rPr>
              <w:t xml:space="preserve"> the net increase of one dwelling</w:t>
            </w:r>
            <w:r w:rsidR="00876A58">
              <w:rPr>
                <w:rFonts w:ascii="Arial" w:hAnsi="Arial" w:cs="Arial"/>
                <w:sz w:val="22"/>
                <w:szCs w:val="22"/>
              </w:rPr>
              <w:t xml:space="preserve">, which </w:t>
            </w:r>
            <w:r w:rsidR="006E39B8">
              <w:rPr>
                <w:rFonts w:ascii="Arial" w:hAnsi="Arial" w:cs="Arial"/>
                <w:sz w:val="22"/>
                <w:szCs w:val="22"/>
              </w:rPr>
              <w:t>is</w:t>
            </w:r>
            <w:r w:rsidRPr="00BF6948">
              <w:rPr>
                <w:rFonts w:ascii="Arial" w:hAnsi="Arial" w:cs="Arial"/>
                <w:sz w:val="22"/>
                <w:szCs w:val="22"/>
              </w:rPr>
              <w:t xml:space="preserve"> neither connected to nor necessary to the management of any European site.</w:t>
            </w:r>
          </w:p>
        </w:tc>
      </w:tr>
      <w:tr w:rsidR="00EA0957" w14:paraId="0B01BEA3" w14:textId="77777777" w:rsidTr="00376970">
        <w:tc>
          <w:tcPr>
            <w:tcW w:w="4820" w:type="dxa"/>
            <w:tcBorders>
              <w:bottom w:val="single" w:sz="12" w:space="0" w:color="0083BE"/>
            </w:tcBorders>
            <w:shd w:val="clear" w:color="auto" w:fill="A8D08D" w:themeFill="accent6" w:themeFillTint="99"/>
          </w:tcPr>
          <w:p w14:paraId="4104334C" w14:textId="77777777" w:rsidR="00DA2ECF" w:rsidRPr="00B25729" w:rsidRDefault="00F20531" w:rsidP="00BF6948">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 (</w:t>
            </w:r>
            <w:r>
              <w:rPr>
                <w:rFonts w:ascii="Arial" w:hAnsi="Arial" w:cs="Arial"/>
                <w:color w:val="404040"/>
                <w:sz w:val="22"/>
                <w:szCs w:val="22"/>
              </w:rPr>
              <w:t xml:space="preserve">Applicant to </w:t>
            </w:r>
            <w:r w:rsidRPr="00B25729">
              <w:rPr>
                <w:rFonts w:ascii="Arial" w:hAnsi="Arial" w:cs="Arial"/>
                <w:color w:val="404040"/>
                <w:sz w:val="22"/>
                <w:szCs w:val="22"/>
              </w:rPr>
              <w:t>provide details</w:t>
            </w:r>
            <w:r>
              <w:rPr>
                <w:rFonts w:ascii="Arial" w:hAnsi="Arial" w:cs="Arial"/>
                <w:color w:val="404040"/>
                <w:sz w:val="22"/>
                <w:szCs w:val="22"/>
              </w:rPr>
              <w:t xml:space="preserve"> to allow an ‘in combination’ effect to be assessed</w:t>
            </w:r>
            <w:r w:rsidRPr="00B25729">
              <w:rPr>
                <w:rFonts w:ascii="Arial" w:hAnsi="Arial" w:cs="Arial"/>
                <w:color w:val="404040"/>
                <w:sz w:val="22"/>
                <w:szCs w:val="22"/>
              </w:rPr>
              <w:t>)?</w:t>
            </w:r>
          </w:p>
        </w:tc>
        <w:tc>
          <w:tcPr>
            <w:tcW w:w="4788" w:type="dxa"/>
            <w:tcBorders>
              <w:bottom w:val="single" w:sz="12" w:space="0" w:color="0083BE"/>
            </w:tcBorders>
          </w:tcPr>
          <w:p w14:paraId="0346B803" w14:textId="2E6AE0A5" w:rsidR="000A51EB" w:rsidRPr="00A53022" w:rsidRDefault="000A51EB" w:rsidP="000A51EB">
            <w:pPr>
              <w:pStyle w:val="NoSpacing"/>
              <w:rPr>
                <w:rFonts w:ascii="Arial" w:hAnsi="Arial" w:cs="Arial"/>
                <w:sz w:val="22"/>
              </w:rPr>
            </w:pPr>
            <w:r w:rsidRPr="00A53022">
              <w:rPr>
                <w:rFonts w:ascii="Arial" w:hAnsi="Arial" w:cs="Arial"/>
                <w:sz w:val="22"/>
              </w:rPr>
              <w:t xml:space="preserve">Yes. </w:t>
            </w:r>
          </w:p>
          <w:p w14:paraId="4B0DF1FA" w14:textId="77777777" w:rsidR="000A51EB" w:rsidRPr="00A53022" w:rsidRDefault="000A51EB" w:rsidP="000A51EB">
            <w:pPr>
              <w:autoSpaceDE w:val="0"/>
              <w:autoSpaceDN w:val="0"/>
              <w:adjustRightInd w:val="0"/>
              <w:rPr>
                <w:rFonts w:ascii="Arial" w:hAnsi="Arial" w:cs="Arial"/>
                <w:sz w:val="22"/>
              </w:rPr>
            </w:pPr>
          </w:p>
          <w:p w14:paraId="7108E813" w14:textId="120D971D" w:rsidR="000A51EB" w:rsidRPr="00A53022" w:rsidRDefault="000A51EB" w:rsidP="000A51EB">
            <w:pPr>
              <w:autoSpaceDE w:val="0"/>
              <w:autoSpaceDN w:val="0"/>
              <w:adjustRightInd w:val="0"/>
              <w:rPr>
                <w:rFonts w:ascii="Arial" w:hAnsi="Arial" w:cs="Arial"/>
                <w:sz w:val="22"/>
              </w:rPr>
            </w:pPr>
            <w:r w:rsidRPr="00A53022">
              <w:rPr>
                <w:rFonts w:ascii="Arial" w:hAnsi="Arial" w:cs="Arial"/>
                <w:sz w:val="22"/>
              </w:rPr>
              <w:t>There have been other recent applications permitted in the locality. All schemes have mitigation measures secured</w:t>
            </w:r>
            <w:r w:rsidR="00A243A9">
              <w:rPr>
                <w:rFonts w:ascii="Arial" w:hAnsi="Arial" w:cs="Arial"/>
                <w:sz w:val="22"/>
              </w:rPr>
              <w:t xml:space="preserve"> to protect the integrity of the </w:t>
            </w:r>
            <w:r w:rsidR="00183712">
              <w:rPr>
                <w:rFonts w:ascii="Arial" w:hAnsi="Arial" w:cs="Arial"/>
                <w:sz w:val="22"/>
              </w:rPr>
              <w:t>protected areas</w:t>
            </w:r>
            <w:r w:rsidRPr="00A53022">
              <w:rPr>
                <w:rFonts w:ascii="Arial" w:hAnsi="Arial" w:cs="Arial"/>
                <w:sz w:val="22"/>
              </w:rPr>
              <w:t>, and with these mitigation measures in place for all approved schemes, there is not considered to be any likely significant in-combination impact.</w:t>
            </w:r>
          </w:p>
          <w:p w14:paraId="71C76F32" w14:textId="4E4D3713" w:rsidR="00DA2ECF" w:rsidRPr="00BF6948" w:rsidRDefault="00DA2ECF" w:rsidP="00595391">
            <w:pPr>
              <w:pStyle w:val="ListParagraph"/>
              <w:spacing w:line="276" w:lineRule="auto"/>
              <w:ind w:left="0"/>
              <w:rPr>
                <w:rFonts w:ascii="Arial" w:hAnsi="Arial" w:cs="Arial"/>
                <w:sz w:val="22"/>
                <w:szCs w:val="22"/>
              </w:rPr>
            </w:pPr>
          </w:p>
        </w:tc>
      </w:tr>
      <w:tr w:rsidR="00EA0957" w14:paraId="2C35CCE3" w14:textId="77777777" w:rsidTr="00E235BE">
        <w:tc>
          <w:tcPr>
            <w:tcW w:w="9608" w:type="dxa"/>
            <w:gridSpan w:val="2"/>
            <w:tcBorders>
              <w:top w:val="single" w:sz="12" w:space="0" w:color="0083BE"/>
              <w:left w:val="nil"/>
              <w:bottom w:val="single" w:sz="12" w:space="0" w:color="0083BE"/>
              <w:right w:val="nil"/>
            </w:tcBorders>
          </w:tcPr>
          <w:p w14:paraId="5CFB353A" w14:textId="77777777" w:rsidR="00DA2ECF" w:rsidRPr="00B25729" w:rsidRDefault="00DA2ECF" w:rsidP="003D781A">
            <w:pPr>
              <w:spacing w:line="276" w:lineRule="auto"/>
              <w:rPr>
                <w:rFonts w:ascii="Arial" w:hAnsi="Arial" w:cs="Arial"/>
              </w:rPr>
            </w:pPr>
          </w:p>
        </w:tc>
      </w:tr>
      <w:tr w:rsidR="00EA0957" w14:paraId="0D070C66" w14:textId="77777777" w:rsidTr="00376970">
        <w:tc>
          <w:tcPr>
            <w:tcW w:w="9608" w:type="dxa"/>
            <w:gridSpan w:val="2"/>
            <w:tcBorders>
              <w:top w:val="single" w:sz="12" w:space="0" w:color="0083BE"/>
            </w:tcBorders>
            <w:shd w:val="clear" w:color="auto" w:fill="70AD47" w:themeFill="accent6"/>
          </w:tcPr>
          <w:p w14:paraId="2701D9A3"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EA0957" w14:paraId="7D1576B7" w14:textId="77777777" w:rsidTr="00376970">
        <w:tc>
          <w:tcPr>
            <w:tcW w:w="9608" w:type="dxa"/>
            <w:gridSpan w:val="2"/>
            <w:shd w:val="clear" w:color="auto" w:fill="A8D08D" w:themeFill="accent6" w:themeFillTint="99"/>
          </w:tcPr>
          <w:p w14:paraId="627351C9" w14:textId="77777777" w:rsidR="00DA2ECF" w:rsidRPr="00160247" w:rsidRDefault="00F20531" w:rsidP="003D781A">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EA0957" w14:paraId="14B39950" w14:textId="77777777" w:rsidTr="00E235BE">
        <w:tc>
          <w:tcPr>
            <w:tcW w:w="9608" w:type="dxa"/>
            <w:gridSpan w:val="2"/>
          </w:tcPr>
          <w:p w14:paraId="5211194E" w14:textId="77777777" w:rsidR="00886865" w:rsidRDefault="00886865" w:rsidP="00F77C3A">
            <w:pPr>
              <w:spacing w:line="276" w:lineRule="auto"/>
              <w:jc w:val="both"/>
              <w:rPr>
                <w:rFonts w:ascii="Arial" w:hAnsi="Arial" w:cs="Arial"/>
                <w:sz w:val="22"/>
                <w:szCs w:val="22"/>
              </w:rPr>
            </w:pPr>
          </w:p>
          <w:p w14:paraId="4F88F9EE" w14:textId="21E14C29" w:rsidR="00886865" w:rsidRDefault="00886865" w:rsidP="00F77C3A">
            <w:pPr>
              <w:spacing w:line="276" w:lineRule="auto"/>
              <w:jc w:val="both"/>
              <w:rPr>
                <w:rFonts w:ascii="Arial" w:hAnsi="Arial" w:cs="Arial"/>
                <w:sz w:val="22"/>
                <w:szCs w:val="22"/>
                <w:u w:val="single"/>
              </w:rPr>
            </w:pPr>
            <w:r>
              <w:rPr>
                <w:rFonts w:ascii="Arial" w:hAnsi="Arial" w:cs="Arial"/>
                <w:sz w:val="22"/>
                <w:szCs w:val="22"/>
                <w:u w:val="single"/>
              </w:rPr>
              <w:t>Recreational disturbance (New Forest)</w:t>
            </w:r>
          </w:p>
          <w:p w14:paraId="62B8F304" w14:textId="77777777" w:rsidR="00886865" w:rsidRDefault="00886865" w:rsidP="00F77C3A">
            <w:pPr>
              <w:spacing w:line="276" w:lineRule="auto"/>
              <w:jc w:val="both"/>
              <w:rPr>
                <w:rFonts w:ascii="Arial" w:hAnsi="Arial" w:cs="Arial"/>
                <w:sz w:val="22"/>
                <w:szCs w:val="22"/>
                <w:u w:val="single"/>
              </w:rPr>
            </w:pPr>
          </w:p>
          <w:p w14:paraId="42233C30" w14:textId="31586244" w:rsidR="00E33957" w:rsidRDefault="00886865" w:rsidP="00E33957">
            <w:pPr>
              <w:spacing w:line="276" w:lineRule="auto"/>
              <w:jc w:val="both"/>
              <w:rPr>
                <w:rFonts w:ascii="Arial" w:hAnsi="Arial" w:cs="Arial"/>
                <w:sz w:val="22"/>
                <w:szCs w:val="22"/>
              </w:rPr>
            </w:pPr>
            <w:r>
              <w:rPr>
                <w:rFonts w:ascii="Arial" w:hAnsi="Arial" w:cs="Arial"/>
                <w:sz w:val="22"/>
                <w:szCs w:val="22"/>
              </w:rPr>
              <w:t>The proposed development is within the 13.8km catchment zone for the New Forest SPA, measured across Southampton Water, and it has been identified that new housing development</w:t>
            </w:r>
            <w:r w:rsidR="008446C4">
              <w:rPr>
                <w:rFonts w:ascii="Arial" w:hAnsi="Arial" w:cs="Arial"/>
                <w:sz w:val="22"/>
                <w:szCs w:val="22"/>
              </w:rPr>
              <w:t xml:space="preserve"> or overnight accommodation</w:t>
            </w:r>
            <w:r>
              <w:rPr>
                <w:rFonts w:ascii="Arial" w:hAnsi="Arial" w:cs="Arial"/>
                <w:sz w:val="22"/>
                <w:szCs w:val="22"/>
              </w:rPr>
              <w:t xml:space="preserve"> has the potential to result in increased recreational pressure on the SPA predominantly from dog walking.  </w:t>
            </w:r>
            <w:r w:rsidR="00E33957">
              <w:rPr>
                <w:rFonts w:ascii="Arial" w:hAnsi="Arial" w:cs="Arial"/>
                <w:sz w:val="22"/>
                <w:szCs w:val="22"/>
              </w:rPr>
              <w:t>There is, therefore, the cumulative potential for future housing</w:t>
            </w:r>
            <w:r w:rsidR="008446C4">
              <w:rPr>
                <w:rFonts w:ascii="Arial" w:hAnsi="Arial" w:cs="Arial"/>
                <w:sz w:val="22"/>
                <w:szCs w:val="22"/>
              </w:rPr>
              <w:t xml:space="preserve"> /overnight accommodation</w:t>
            </w:r>
            <w:r w:rsidR="00E33957">
              <w:rPr>
                <w:rFonts w:ascii="Arial" w:hAnsi="Arial" w:cs="Arial"/>
                <w:sz w:val="22"/>
                <w:szCs w:val="22"/>
              </w:rPr>
              <w:t xml:space="preserve"> developments across the borough of Eastleigh to impact the status and distribution of key bird species and therefore act against the stated conservation objectives of these European sites. </w:t>
            </w:r>
          </w:p>
          <w:p w14:paraId="558BEFE9" w14:textId="77777777" w:rsidR="00F77C3A" w:rsidRDefault="00F77C3A" w:rsidP="00F77C3A">
            <w:pPr>
              <w:spacing w:line="276" w:lineRule="auto"/>
              <w:rPr>
                <w:rFonts w:ascii="Arial" w:hAnsi="Arial" w:cs="Arial"/>
                <w:sz w:val="22"/>
                <w:szCs w:val="22"/>
              </w:rPr>
            </w:pPr>
          </w:p>
          <w:p w14:paraId="747FB381" w14:textId="77777777" w:rsidR="00F77C3A" w:rsidRPr="00A53022" w:rsidRDefault="00F77C3A" w:rsidP="00F77C3A">
            <w:pPr>
              <w:spacing w:line="276" w:lineRule="auto"/>
              <w:rPr>
                <w:rFonts w:ascii="Arial" w:hAnsi="Arial" w:cs="Arial"/>
                <w:sz w:val="22"/>
                <w:szCs w:val="22"/>
                <w:u w:val="single"/>
              </w:rPr>
            </w:pPr>
            <w:r>
              <w:rPr>
                <w:rFonts w:ascii="Arial" w:hAnsi="Arial" w:cs="Arial"/>
                <w:sz w:val="22"/>
                <w:szCs w:val="22"/>
                <w:u w:val="single"/>
              </w:rPr>
              <w:t>Nutrient neutrality:</w:t>
            </w:r>
          </w:p>
          <w:p w14:paraId="62165159" w14:textId="77777777" w:rsidR="00F77C3A" w:rsidRDefault="00F77C3A" w:rsidP="00F77C3A">
            <w:pPr>
              <w:spacing w:line="276" w:lineRule="auto"/>
              <w:rPr>
                <w:rFonts w:ascii="Arial" w:hAnsi="Arial" w:cs="Arial"/>
                <w:sz w:val="22"/>
                <w:szCs w:val="22"/>
              </w:rPr>
            </w:pPr>
          </w:p>
          <w:p w14:paraId="0D3BBC58" w14:textId="69B06D8B" w:rsidR="00F77C3A" w:rsidRDefault="00F77C3A" w:rsidP="00F77C3A">
            <w:pPr>
              <w:spacing w:line="276" w:lineRule="auto"/>
              <w:rPr>
                <w:rFonts w:ascii="Arial" w:hAnsi="Arial" w:cs="Arial"/>
                <w:sz w:val="22"/>
                <w:szCs w:val="22"/>
              </w:rPr>
            </w:pPr>
            <w:r>
              <w:rPr>
                <w:rFonts w:ascii="Arial" w:hAnsi="Arial" w:cs="Arial"/>
                <w:sz w:val="22"/>
                <w:szCs w:val="22"/>
              </w:rPr>
              <w:t xml:space="preserve">There is existing evidence of high levels </w:t>
            </w:r>
            <w:r w:rsidR="00BC281A">
              <w:rPr>
                <w:rFonts w:ascii="Arial" w:hAnsi="Arial" w:cs="Arial"/>
                <w:sz w:val="22"/>
                <w:szCs w:val="22"/>
              </w:rPr>
              <w:t xml:space="preserve">of nutrient </w:t>
            </w:r>
            <w:r>
              <w:rPr>
                <w:rFonts w:ascii="Arial" w:hAnsi="Arial" w:cs="Arial"/>
                <w:sz w:val="22"/>
                <w:szCs w:val="22"/>
              </w:rPr>
              <w:t xml:space="preserve">input into the Solent complex and that these nutrients are causing eutrophication at these designated sites. Natural England has advised that the resulting effects arising from this eutrophication cause dense green mats of algae, which are impacting on the Solent’s protected habitats and bird species and that wastewater from </w:t>
            </w:r>
            <w:r w:rsidR="005C560A">
              <w:rPr>
                <w:rFonts w:ascii="Arial" w:hAnsi="Arial" w:cs="Arial"/>
                <w:sz w:val="22"/>
                <w:szCs w:val="22"/>
              </w:rPr>
              <w:t xml:space="preserve">residential </w:t>
            </w:r>
            <w:r>
              <w:rPr>
                <w:rFonts w:ascii="Arial" w:hAnsi="Arial" w:cs="Arial"/>
                <w:sz w:val="22"/>
                <w:szCs w:val="22"/>
              </w:rPr>
              <w:t xml:space="preserve">development has been identified as contributing to these nutrient inputs. </w:t>
            </w:r>
          </w:p>
          <w:p w14:paraId="47B53CDB" w14:textId="77777777" w:rsidR="00F77C3A" w:rsidRDefault="00F77C3A" w:rsidP="00F77C3A">
            <w:pPr>
              <w:spacing w:line="276" w:lineRule="auto"/>
              <w:rPr>
                <w:rFonts w:ascii="Arial" w:hAnsi="Arial" w:cs="Arial"/>
                <w:sz w:val="22"/>
                <w:szCs w:val="22"/>
              </w:rPr>
            </w:pPr>
          </w:p>
          <w:p w14:paraId="28B0096F" w14:textId="021BB884" w:rsidR="00F77C3A" w:rsidRDefault="00F77C3A" w:rsidP="00C26524">
            <w:pPr>
              <w:spacing w:line="276" w:lineRule="auto"/>
              <w:rPr>
                <w:rFonts w:ascii="Arial" w:hAnsi="Arial" w:cs="Arial"/>
                <w:sz w:val="22"/>
                <w:szCs w:val="22"/>
              </w:rPr>
            </w:pPr>
            <w:r>
              <w:rPr>
                <w:rFonts w:ascii="Arial" w:hAnsi="Arial" w:cs="Arial"/>
                <w:sz w:val="22"/>
                <w:szCs w:val="22"/>
              </w:rPr>
              <w:t xml:space="preserve">There is the potential for future housing developments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628D3D69" w14:textId="77777777" w:rsidR="006640FF" w:rsidRPr="006640FF" w:rsidRDefault="006640FF" w:rsidP="003D781A">
            <w:pPr>
              <w:spacing w:line="276" w:lineRule="auto"/>
              <w:jc w:val="both"/>
              <w:rPr>
                <w:rFonts w:ascii="Arial" w:hAnsi="Arial" w:cs="Arial"/>
                <w:sz w:val="22"/>
                <w:szCs w:val="22"/>
                <w:u w:val="single"/>
              </w:rPr>
            </w:pPr>
          </w:p>
          <w:p w14:paraId="179D1E4C" w14:textId="2A1DF37A" w:rsidR="00DA2ECF" w:rsidRDefault="00F20531" w:rsidP="003D781A">
            <w:pPr>
              <w:spacing w:line="276" w:lineRule="auto"/>
              <w:jc w:val="both"/>
              <w:rPr>
                <w:rFonts w:ascii="Arial" w:hAnsi="Arial" w:cs="Arial"/>
                <w:b/>
              </w:rPr>
            </w:pPr>
            <w:r>
              <w:rPr>
                <w:rFonts w:ascii="Arial" w:hAnsi="Arial" w:cs="Arial"/>
                <w:b/>
                <w:sz w:val="22"/>
                <w:szCs w:val="22"/>
              </w:rPr>
              <w:t xml:space="preserve">Would the proposal lead to a likely significant effect on European site integrity? </w:t>
            </w:r>
            <w:r w:rsidR="002A066B">
              <w:rPr>
                <w:rFonts w:ascii="Arial" w:hAnsi="Arial" w:cs="Arial"/>
                <w:b/>
                <w:sz w:val="22"/>
                <w:szCs w:val="22"/>
              </w:rPr>
              <w:t xml:space="preserve">YES if no mitigation in place. </w:t>
            </w:r>
          </w:p>
          <w:p w14:paraId="01A00F12" w14:textId="77777777" w:rsidR="00DA2ECF" w:rsidRPr="00E7065A" w:rsidRDefault="00DA2ECF" w:rsidP="003D781A">
            <w:pPr>
              <w:spacing w:line="276" w:lineRule="auto"/>
              <w:jc w:val="both"/>
              <w:rPr>
                <w:rFonts w:ascii="Arial" w:hAnsi="Arial" w:cs="Arial"/>
              </w:rPr>
            </w:pPr>
          </w:p>
          <w:p w14:paraId="746EE79F" w14:textId="77777777" w:rsidR="00DA2ECF" w:rsidRDefault="00F20531" w:rsidP="003D781A">
            <w:pPr>
              <w:spacing w:line="276" w:lineRule="auto"/>
              <w:jc w:val="both"/>
              <w:rPr>
                <w:rFonts w:ascii="Arial" w:hAnsi="Arial" w:cs="Arial"/>
                <w:sz w:val="22"/>
                <w:szCs w:val="22"/>
              </w:rPr>
            </w:pPr>
            <w:r w:rsidRPr="00E7065A">
              <w:rPr>
                <w:rFonts w:ascii="Arial" w:hAnsi="Arial" w:cs="Arial"/>
                <w:sz w:val="22"/>
                <w:szCs w:val="22"/>
              </w:rPr>
              <w:t>(If yes, continue to Stage 3)</w:t>
            </w:r>
            <w:r>
              <w:rPr>
                <w:rFonts w:ascii="Arial" w:hAnsi="Arial" w:cs="Arial"/>
                <w:sz w:val="22"/>
                <w:szCs w:val="22"/>
              </w:rPr>
              <w:t>.</w:t>
            </w:r>
          </w:p>
          <w:p w14:paraId="5DB8C6E8" w14:textId="77777777" w:rsidR="00DA2ECF" w:rsidRPr="00B25729" w:rsidRDefault="00DA2ECF" w:rsidP="003D781A">
            <w:pPr>
              <w:spacing w:line="276" w:lineRule="auto"/>
              <w:jc w:val="both"/>
              <w:rPr>
                <w:rFonts w:ascii="Arial" w:hAnsi="Arial" w:cs="Arial"/>
              </w:rPr>
            </w:pPr>
          </w:p>
        </w:tc>
      </w:tr>
      <w:tr w:rsidR="00EA0957" w14:paraId="1BCA40F9" w14:textId="77777777" w:rsidTr="00376970">
        <w:tc>
          <w:tcPr>
            <w:tcW w:w="9608" w:type="dxa"/>
            <w:gridSpan w:val="2"/>
            <w:tcBorders>
              <w:top w:val="single" w:sz="12" w:space="0" w:color="0083BE"/>
            </w:tcBorders>
            <w:shd w:val="clear" w:color="auto" w:fill="70AD47" w:themeFill="accent6"/>
          </w:tcPr>
          <w:p w14:paraId="490D3C2C"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EA0957" w14:paraId="4E3E3DF3" w14:textId="77777777" w:rsidTr="00376970">
        <w:tc>
          <w:tcPr>
            <w:tcW w:w="9608" w:type="dxa"/>
            <w:gridSpan w:val="2"/>
            <w:shd w:val="clear" w:color="auto" w:fill="A8D08D" w:themeFill="accent6" w:themeFillTint="99"/>
          </w:tcPr>
          <w:p w14:paraId="392B53E5" w14:textId="77777777" w:rsidR="00DA2ECF" w:rsidRPr="004717F0" w:rsidRDefault="00F20531" w:rsidP="003D781A">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EA0957" w:rsidRPr="000C594E" w14:paraId="1EF98E3F" w14:textId="77777777" w:rsidTr="00E235BE">
        <w:tc>
          <w:tcPr>
            <w:tcW w:w="9608" w:type="dxa"/>
            <w:gridSpan w:val="2"/>
          </w:tcPr>
          <w:p w14:paraId="6D11CF4C" w14:textId="77777777" w:rsidR="00BE12D7" w:rsidRDefault="00BE12D7" w:rsidP="0070698A">
            <w:pPr>
              <w:spacing w:line="276" w:lineRule="auto"/>
              <w:jc w:val="both"/>
              <w:rPr>
                <w:rFonts w:ascii="Arial" w:hAnsi="Arial" w:cs="Arial"/>
                <w:color w:val="FF0000"/>
                <w:sz w:val="22"/>
                <w:szCs w:val="22"/>
              </w:rPr>
            </w:pPr>
          </w:p>
          <w:p w14:paraId="30D65E05" w14:textId="3AE9550E" w:rsidR="003F4430" w:rsidRDefault="003F4430" w:rsidP="0070698A">
            <w:pPr>
              <w:spacing w:line="276" w:lineRule="auto"/>
              <w:jc w:val="both"/>
              <w:rPr>
                <w:rFonts w:ascii="Arial" w:hAnsi="Arial" w:cs="Arial"/>
                <w:sz w:val="22"/>
                <w:szCs w:val="22"/>
                <w:u w:val="single"/>
              </w:rPr>
            </w:pPr>
            <w:r>
              <w:rPr>
                <w:rFonts w:ascii="Arial" w:hAnsi="Arial" w:cs="Arial"/>
                <w:sz w:val="22"/>
                <w:szCs w:val="22"/>
                <w:u w:val="single"/>
              </w:rPr>
              <w:t>Recreational impacts on the New Forest SPA</w:t>
            </w:r>
          </w:p>
          <w:p w14:paraId="2470D161" w14:textId="171D412B" w:rsidR="003F4430" w:rsidRDefault="003F4430" w:rsidP="0070698A">
            <w:pPr>
              <w:spacing w:line="276" w:lineRule="auto"/>
              <w:jc w:val="both"/>
              <w:rPr>
                <w:rFonts w:ascii="Arial" w:hAnsi="Arial" w:cs="Arial"/>
                <w:sz w:val="22"/>
                <w:szCs w:val="22"/>
                <w:u w:val="single"/>
              </w:rPr>
            </w:pPr>
          </w:p>
          <w:p w14:paraId="3D43CBDC" w14:textId="562E3C9B" w:rsidR="00C12F27" w:rsidRDefault="00192E55" w:rsidP="0070698A">
            <w:pPr>
              <w:spacing w:line="276" w:lineRule="auto"/>
              <w:jc w:val="both"/>
              <w:rPr>
                <w:rFonts w:ascii="Arial" w:hAnsi="Arial" w:cs="Arial"/>
                <w:sz w:val="22"/>
                <w:szCs w:val="22"/>
              </w:rPr>
            </w:pPr>
            <w:r>
              <w:rPr>
                <w:rFonts w:ascii="Arial" w:hAnsi="Arial" w:cs="Arial"/>
                <w:sz w:val="22"/>
                <w:szCs w:val="22"/>
              </w:rPr>
              <w:t xml:space="preserve">The project being assessed would result in an increase in </w:t>
            </w:r>
            <w:r w:rsidR="006C1A9B">
              <w:rPr>
                <w:rFonts w:ascii="Arial" w:hAnsi="Arial" w:cs="Arial"/>
                <w:sz w:val="22"/>
                <w:szCs w:val="22"/>
              </w:rPr>
              <w:t xml:space="preserve">one </w:t>
            </w:r>
            <w:r w:rsidR="00D52794">
              <w:rPr>
                <w:rFonts w:ascii="Arial" w:hAnsi="Arial" w:cs="Arial"/>
                <w:sz w:val="22"/>
                <w:szCs w:val="22"/>
              </w:rPr>
              <w:t>dwelling</w:t>
            </w:r>
            <w:r w:rsidR="00290500">
              <w:rPr>
                <w:rFonts w:ascii="Arial" w:hAnsi="Arial" w:cs="Arial"/>
                <w:sz w:val="22"/>
                <w:szCs w:val="22"/>
              </w:rPr>
              <w:t xml:space="preserve"> within the</w:t>
            </w:r>
            <w:r w:rsidR="007E67A4">
              <w:rPr>
                <w:rFonts w:ascii="Arial" w:hAnsi="Arial" w:cs="Arial"/>
                <w:sz w:val="22"/>
                <w:szCs w:val="22"/>
              </w:rPr>
              <w:t xml:space="preserve"> 13.8km catchment </w:t>
            </w:r>
            <w:r w:rsidR="00BC4E7D">
              <w:rPr>
                <w:rFonts w:ascii="Arial" w:hAnsi="Arial" w:cs="Arial"/>
                <w:sz w:val="22"/>
                <w:szCs w:val="22"/>
              </w:rPr>
              <w:t>area of the New Forest SPA</w:t>
            </w:r>
            <w:r w:rsidR="00AE4523">
              <w:rPr>
                <w:rFonts w:ascii="Arial" w:hAnsi="Arial" w:cs="Arial"/>
                <w:sz w:val="22"/>
                <w:szCs w:val="22"/>
              </w:rPr>
              <w:t xml:space="preserve">. </w:t>
            </w:r>
            <w:r w:rsidR="006C1A9B">
              <w:rPr>
                <w:rFonts w:ascii="Arial" w:hAnsi="Arial" w:cs="Arial"/>
                <w:sz w:val="22"/>
                <w:szCs w:val="22"/>
              </w:rPr>
              <w:t xml:space="preserve">The </w:t>
            </w:r>
            <w:r w:rsidR="005C44C5">
              <w:rPr>
                <w:rFonts w:ascii="Arial" w:hAnsi="Arial" w:cs="Arial"/>
                <w:sz w:val="22"/>
                <w:szCs w:val="22"/>
              </w:rPr>
              <w:t>new residents</w:t>
            </w:r>
            <w:r w:rsidR="0068262B">
              <w:rPr>
                <w:rFonts w:ascii="Arial" w:hAnsi="Arial" w:cs="Arial"/>
                <w:sz w:val="22"/>
                <w:szCs w:val="22"/>
              </w:rPr>
              <w:t xml:space="preserve"> would have the </w:t>
            </w:r>
            <w:r w:rsidR="00C12F27">
              <w:rPr>
                <w:rFonts w:ascii="Arial" w:hAnsi="Arial" w:cs="Arial"/>
                <w:sz w:val="22"/>
                <w:szCs w:val="22"/>
              </w:rPr>
              <w:t xml:space="preserve">potential to increase recreational pressure on the New Forest.  </w:t>
            </w:r>
          </w:p>
          <w:p w14:paraId="2AD1B085" w14:textId="77777777" w:rsidR="00B05760" w:rsidRDefault="00B05760" w:rsidP="0070698A">
            <w:pPr>
              <w:spacing w:line="276" w:lineRule="auto"/>
              <w:jc w:val="both"/>
              <w:rPr>
                <w:rFonts w:ascii="Arial" w:hAnsi="Arial" w:cs="Arial"/>
                <w:sz w:val="22"/>
                <w:szCs w:val="22"/>
              </w:rPr>
            </w:pPr>
          </w:p>
          <w:p w14:paraId="7B23E1BE" w14:textId="6B04B7CB" w:rsidR="00471F39" w:rsidRPr="00F24966" w:rsidRDefault="00471F39" w:rsidP="00471F39">
            <w:pPr>
              <w:spacing w:line="276" w:lineRule="auto"/>
              <w:rPr>
                <w:rFonts w:ascii="Arial" w:hAnsi="Arial" w:cs="Arial"/>
                <w:sz w:val="22"/>
                <w:szCs w:val="22"/>
              </w:rPr>
            </w:pPr>
            <w:r>
              <w:rPr>
                <w:rFonts w:ascii="Arial" w:hAnsi="Arial" w:cs="Arial"/>
                <w:sz w:val="22"/>
                <w:szCs w:val="22"/>
              </w:rPr>
              <w:t xml:space="preserve">Eastleigh Borough Council has </w:t>
            </w:r>
            <w:r w:rsidRPr="00F24966">
              <w:rPr>
                <w:rFonts w:ascii="Arial" w:hAnsi="Arial" w:cs="Arial"/>
                <w:sz w:val="22"/>
                <w:szCs w:val="22"/>
              </w:rPr>
              <w:t xml:space="preserve">developed an interim strategy using existing and future land acquisitions to provide further sites to mitigate the recreation impact on the New Forest from the increased number of visits from the occupiers of new residential development within Eastleigh borough to March 2027. It applies to development within the 13.8km catchment area, measured as a straight-line distance from the boundary of the New Forest protected sites.  </w:t>
            </w:r>
          </w:p>
          <w:p w14:paraId="2A981F73" w14:textId="77777777" w:rsidR="00471F39" w:rsidRPr="00071350" w:rsidRDefault="00471F39" w:rsidP="00471F39">
            <w:pPr>
              <w:spacing w:line="276" w:lineRule="auto"/>
              <w:rPr>
                <w:rFonts w:ascii="Arial" w:hAnsi="Arial" w:cs="Arial"/>
                <w:color w:val="FF0000"/>
                <w:sz w:val="22"/>
                <w:szCs w:val="22"/>
              </w:rPr>
            </w:pPr>
          </w:p>
          <w:p w14:paraId="28FB4822" w14:textId="77777777" w:rsidR="00471F39" w:rsidRPr="000B58C4" w:rsidRDefault="00471F39" w:rsidP="00471F39">
            <w:pPr>
              <w:spacing w:line="276" w:lineRule="auto"/>
              <w:rPr>
                <w:rFonts w:ascii="Arial" w:hAnsi="Arial" w:cs="Arial"/>
                <w:sz w:val="22"/>
                <w:szCs w:val="22"/>
              </w:rPr>
            </w:pPr>
            <w:r w:rsidRPr="000B58C4">
              <w:rPr>
                <w:rFonts w:ascii="Arial" w:hAnsi="Arial" w:cs="Arial"/>
                <w:sz w:val="22"/>
                <w:szCs w:val="22"/>
              </w:rPr>
              <w:t xml:space="preserve">Eastleigh housing growth will account for just over 20% of all planned new residential development between 5-14km from the New Forest protected sites. The interim strategy is therefore calculated based on a 20% contribution towards the total SANG required (equating to 1.6ha per 1,000 population). This results in a requirement of 27.1ha of SANG within Eastleigh </w:t>
            </w:r>
            <w:r w:rsidRPr="000B58C4">
              <w:rPr>
                <w:rFonts w:ascii="Arial" w:hAnsi="Arial" w:cs="Arial"/>
                <w:sz w:val="22"/>
                <w:szCs w:val="22"/>
              </w:rPr>
              <w:lastRenderedPageBreak/>
              <w:t>borough. The SANG provision will include both new greenspace sites and improvements to increase the attractiveness and capacity of existing greenspaces throughout the year which can therefore function as SANG.</w:t>
            </w:r>
          </w:p>
          <w:p w14:paraId="4B0B1386" w14:textId="77777777" w:rsidR="00471F39" w:rsidRPr="00071350" w:rsidRDefault="00471F39" w:rsidP="00471F39">
            <w:pPr>
              <w:spacing w:line="276" w:lineRule="auto"/>
              <w:rPr>
                <w:rFonts w:ascii="Arial" w:hAnsi="Arial" w:cs="Arial"/>
                <w:color w:val="FF0000"/>
                <w:sz w:val="22"/>
                <w:szCs w:val="22"/>
              </w:rPr>
            </w:pPr>
          </w:p>
          <w:p w14:paraId="02F8C6FD" w14:textId="4C1B5937" w:rsidR="00471F39" w:rsidRPr="000B58C4" w:rsidRDefault="00471F39" w:rsidP="00471F39">
            <w:pPr>
              <w:spacing w:line="276" w:lineRule="auto"/>
              <w:rPr>
                <w:rFonts w:ascii="Arial" w:hAnsi="Arial" w:cs="Arial"/>
                <w:sz w:val="22"/>
                <w:szCs w:val="22"/>
              </w:rPr>
            </w:pPr>
            <w:r w:rsidRPr="000B58C4">
              <w:rPr>
                <w:rFonts w:ascii="Arial" w:hAnsi="Arial" w:cs="Arial"/>
                <w:sz w:val="22"/>
                <w:szCs w:val="22"/>
              </w:rPr>
              <w:t>The SANG contribution will deliver a list of projects in the borough focused on improvements to Itchen Valley Country Park (IVCP)</w:t>
            </w:r>
            <w:r w:rsidR="003B69FA">
              <w:rPr>
                <w:rFonts w:ascii="Arial" w:hAnsi="Arial" w:cs="Arial"/>
                <w:sz w:val="22"/>
                <w:szCs w:val="22"/>
              </w:rPr>
              <w:t xml:space="preserve"> and at Stoke </w:t>
            </w:r>
            <w:r w:rsidR="009C48E7">
              <w:rPr>
                <w:rFonts w:ascii="Arial" w:hAnsi="Arial" w:cs="Arial"/>
                <w:sz w:val="22"/>
                <w:szCs w:val="22"/>
              </w:rPr>
              <w:t>Park</w:t>
            </w:r>
            <w:r w:rsidR="00346296">
              <w:rPr>
                <w:rFonts w:ascii="Arial" w:hAnsi="Arial" w:cs="Arial"/>
                <w:sz w:val="22"/>
                <w:szCs w:val="22"/>
              </w:rPr>
              <w:t xml:space="preserve"> Farm</w:t>
            </w:r>
            <w:r w:rsidR="001C2399">
              <w:rPr>
                <w:rFonts w:ascii="Arial" w:hAnsi="Arial" w:cs="Arial"/>
                <w:sz w:val="22"/>
                <w:szCs w:val="22"/>
              </w:rPr>
              <w:t xml:space="preserve">. </w:t>
            </w:r>
            <w:r w:rsidR="00841C7D" w:rsidRPr="000B58C4">
              <w:rPr>
                <w:rFonts w:ascii="Arial" w:hAnsi="Arial" w:cs="Arial"/>
                <w:sz w:val="22"/>
                <w:szCs w:val="22"/>
              </w:rPr>
              <w:t>Itchen Valley Country Par</w:t>
            </w:r>
            <w:r w:rsidR="00841C7D">
              <w:rPr>
                <w:rFonts w:ascii="Arial" w:hAnsi="Arial" w:cs="Arial"/>
                <w:sz w:val="22"/>
                <w:szCs w:val="22"/>
              </w:rPr>
              <w:t>k</w:t>
            </w:r>
            <w:r w:rsidRPr="000B58C4">
              <w:rPr>
                <w:rFonts w:ascii="Arial" w:hAnsi="Arial" w:cs="Arial"/>
                <w:sz w:val="22"/>
                <w:szCs w:val="22"/>
              </w:rPr>
              <w:t xml:space="preserve"> is an existing open space at the centre of the borough with public access with the scope to significantly increase its capacity. This is through the extension into adjacent land and by improvements to the existing open space to make it more attractive for visitors who would otherwise visit the New Forest. </w:t>
            </w:r>
            <w:r w:rsidR="00217AE7">
              <w:rPr>
                <w:rFonts w:ascii="Arial" w:hAnsi="Arial" w:cs="Arial"/>
                <w:sz w:val="22"/>
                <w:szCs w:val="22"/>
              </w:rPr>
              <w:t>The Council has also establis</w:t>
            </w:r>
            <w:r w:rsidR="00215302">
              <w:rPr>
                <w:rFonts w:ascii="Arial" w:hAnsi="Arial" w:cs="Arial"/>
                <w:sz w:val="22"/>
                <w:szCs w:val="22"/>
              </w:rPr>
              <w:t xml:space="preserve">hed a new SANG at Stoke Park Farm in Bishopstoke, which </w:t>
            </w:r>
            <w:r w:rsidR="00CE21C3">
              <w:rPr>
                <w:rFonts w:ascii="Arial" w:hAnsi="Arial" w:cs="Arial"/>
                <w:sz w:val="22"/>
                <w:szCs w:val="22"/>
              </w:rPr>
              <w:t>aims to attract new visitors which would otherwise visit the New Forest.</w:t>
            </w:r>
          </w:p>
          <w:p w14:paraId="1CF67A14" w14:textId="77777777" w:rsidR="00471F39" w:rsidRPr="00071350" w:rsidRDefault="00471F39" w:rsidP="00471F39">
            <w:pPr>
              <w:spacing w:line="276" w:lineRule="auto"/>
              <w:rPr>
                <w:rFonts w:ascii="Arial" w:hAnsi="Arial" w:cs="Arial"/>
                <w:color w:val="FF0000"/>
                <w:sz w:val="22"/>
                <w:szCs w:val="22"/>
              </w:rPr>
            </w:pPr>
          </w:p>
          <w:p w14:paraId="5B3A9DFE" w14:textId="77777777" w:rsidR="001C2399" w:rsidRDefault="00471F39" w:rsidP="000E56B8">
            <w:pPr>
              <w:spacing w:line="276" w:lineRule="auto"/>
              <w:rPr>
                <w:rFonts w:ascii="Arial" w:hAnsi="Arial" w:cs="Arial"/>
                <w:sz w:val="22"/>
                <w:szCs w:val="22"/>
              </w:rPr>
            </w:pPr>
            <w:r w:rsidRPr="00430C91">
              <w:rPr>
                <w:rFonts w:ascii="Arial" w:hAnsi="Arial" w:cs="Arial"/>
                <w:sz w:val="22"/>
                <w:szCs w:val="22"/>
              </w:rPr>
              <w:t xml:space="preserve">The Council is satisfied as competent authority that further mitigation will be in place prior to the occupation </w:t>
            </w:r>
            <w:r w:rsidR="00A21DF1">
              <w:rPr>
                <w:rFonts w:ascii="Arial" w:hAnsi="Arial" w:cs="Arial"/>
                <w:sz w:val="22"/>
                <w:szCs w:val="22"/>
              </w:rPr>
              <w:t xml:space="preserve">of the proposed development, </w:t>
            </w:r>
            <w:r w:rsidRPr="00430C91">
              <w:rPr>
                <w:rFonts w:ascii="Arial" w:hAnsi="Arial" w:cs="Arial"/>
                <w:sz w:val="22"/>
                <w:szCs w:val="22"/>
              </w:rPr>
              <w:t>and is keeping a record of developments reliant on this strategy and their occupation dates. </w:t>
            </w:r>
            <w:r w:rsidRPr="0080430B">
              <w:rPr>
                <w:rFonts w:ascii="Arial" w:hAnsi="Arial" w:cs="Arial"/>
                <w:sz w:val="22"/>
                <w:szCs w:val="22"/>
              </w:rPr>
              <w:t xml:space="preserve">The mitigation, </w:t>
            </w:r>
            <w:r>
              <w:rPr>
                <w:rFonts w:ascii="Arial" w:hAnsi="Arial" w:cs="Arial"/>
                <w:sz w:val="22"/>
                <w:szCs w:val="22"/>
              </w:rPr>
              <w:t>approved at the Cabinet on the 8</w:t>
            </w:r>
            <w:r w:rsidRPr="00670A55">
              <w:rPr>
                <w:rFonts w:ascii="Arial" w:hAnsi="Arial" w:cs="Arial"/>
                <w:sz w:val="22"/>
                <w:szCs w:val="22"/>
                <w:vertAlign w:val="superscript"/>
              </w:rPr>
              <w:t>th</w:t>
            </w:r>
            <w:r>
              <w:rPr>
                <w:rFonts w:ascii="Arial" w:hAnsi="Arial" w:cs="Arial"/>
                <w:sz w:val="22"/>
                <w:szCs w:val="22"/>
              </w:rPr>
              <w:t xml:space="preserve"> December 2022</w:t>
            </w:r>
            <w:r w:rsidRPr="0080430B">
              <w:rPr>
                <w:rFonts w:ascii="Arial" w:hAnsi="Arial" w:cs="Arial"/>
                <w:sz w:val="22"/>
                <w:szCs w:val="22"/>
              </w:rPr>
              <w:t xml:space="preserve">, sets out </w:t>
            </w:r>
            <w:r>
              <w:rPr>
                <w:rFonts w:ascii="Arial" w:hAnsi="Arial" w:cs="Arial"/>
                <w:sz w:val="22"/>
                <w:szCs w:val="22"/>
              </w:rPr>
              <w:t>a</w:t>
            </w:r>
            <w:r w:rsidRPr="0080430B">
              <w:rPr>
                <w:rFonts w:ascii="Arial" w:hAnsi="Arial" w:cs="Arial"/>
                <w:sz w:val="22"/>
                <w:szCs w:val="22"/>
              </w:rPr>
              <w:t xml:space="preserve"> payment per </w:t>
            </w:r>
            <w:r w:rsidR="001C2399">
              <w:rPr>
                <w:rFonts w:ascii="Arial" w:hAnsi="Arial" w:cs="Arial"/>
                <w:sz w:val="22"/>
                <w:szCs w:val="22"/>
              </w:rPr>
              <w:t>unit</w:t>
            </w:r>
            <w:r w:rsidRPr="0080430B">
              <w:rPr>
                <w:rFonts w:ascii="Arial" w:hAnsi="Arial" w:cs="Arial"/>
                <w:sz w:val="22"/>
                <w:szCs w:val="22"/>
              </w:rPr>
              <w:t xml:space="preserve"> at £2,220, split 4 ways between a New Forest Ranger (£41.07), New Forest SANG (£1968.24), New Forest SANG monitoring (£9.13) and Commercial Risk (£201.84).  </w:t>
            </w:r>
          </w:p>
          <w:p w14:paraId="19CF3C72" w14:textId="77777777" w:rsidR="001C2399" w:rsidRDefault="001C2399" w:rsidP="000E56B8">
            <w:pPr>
              <w:spacing w:line="276" w:lineRule="auto"/>
              <w:rPr>
                <w:rFonts w:ascii="Arial" w:hAnsi="Arial" w:cs="Arial"/>
                <w:sz w:val="22"/>
                <w:szCs w:val="22"/>
              </w:rPr>
            </w:pPr>
          </w:p>
          <w:p w14:paraId="40C7B7E8" w14:textId="31DB991F" w:rsidR="00482B14" w:rsidRDefault="00290500" w:rsidP="00482B14">
            <w:pPr>
              <w:spacing w:line="276" w:lineRule="auto"/>
              <w:rPr>
                <w:rFonts w:ascii="Arial" w:hAnsi="Arial" w:cs="Arial"/>
                <w:sz w:val="22"/>
                <w:szCs w:val="22"/>
              </w:rPr>
            </w:pPr>
            <w:r>
              <w:rPr>
                <w:rFonts w:ascii="Arial" w:hAnsi="Arial" w:cs="Arial"/>
                <w:sz w:val="22"/>
                <w:szCs w:val="22"/>
              </w:rPr>
              <w:t xml:space="preserve">For the proposed scheme, the total mitigation amount would be </w:t>
            </w:r>
            <w:r w:rsidR="004737BC">
              <w:rPr>
                <w:rFonts w:ascii="Arial" w:hAnsi="Arial" w:cs="Arial"/>
                <w:sz w:val="22"/>
                <w:szCs w:val="22"/>
              </w:rPr>
              <w:t>£</w:t>
            </w:r>
            <w:r w:rsidR="001C2399">
              <w:rPr>
                <w:rFonts w:ascii="Arial" w:hAnsi="Arial" w:cs="Arial"/>
                <w:sz w:val="22"/>
                <w:szCs w:val="22"/>
              </w:rPr>
              <w:t>2,220 and secured via an up front payment in the event that the Local Planning Authority intends to grant planning permission.</w:t>
            </w:r>
            <w:r w:rsidR="00482B14">
              <w:rPr>
                <w:rFonts w:ascii="Arial" w:hAnsi="Arial" w:cs="Arial"/>
                <w:sz w:val="22"/>
                <w:szCs w:val="22"/>
              </w:rPr>
              <w:t xml:space="preserve"> Subject to this, </w:t>
            </w:r>
            <w:r w:rsidR="00482B14" w:rsidRPr="0097747D">
              <w:rPr>
                <w:rFonts w:ascii="Arial" w:hAnsi="Arial" w:cs="Arial"/>
                <w:sz w:val="22"/>
                <w:szCs w:val="22"/>
              </w:rPr>
              <w:t xml:space="preserve">the proposed development will not affect the status and distribution of </w:t>
            </w:r>
            <w:r w:rsidR="00482B14">
              <w:rPr>
                <w:rFonts w:ascii="Arial" w:hAnsi="Arial" w:cs="Arial"/>
                <w:sz w:val="22"/>
                <w:szCs w:val="22"/>
              </w:rPr>
              <w:t xml:space="preserve">key </w:t>
            </w:r>
            <w:r w:rsidR="00482B14" w:rsidRPr="0097747D">
              <w:rPr>
                <w:rFonts w:ascii="Arial" w:hAnsi="Arial" w:cs="Arial"/>
                <w:sz w:val="22"/>
                <w:szCs w:val="22"/>
              </w:rPr>
              <w:t>species and therefore act against the stated conservation objectives of the European sites.</w:t>
            </w:r>
          </w:p>
          <w:p w14:paraId="2608B0C0" w14:textId="77777777" w:rsidR="00262EBF" w:rsidRDefault="00262EBF" w:rsidP="000E56B8">
            <w:pPr>
              <w:spacing w:line="276" w:lineRule="auto"/>
              <w:rPr>
                <w:rFonts w:ascii="Arial" w:hAnsi="Arial" w:cs="Arial"/>
                <w:sz w:val="22"/>
                <w:szCs w:val="22"/>
              </w:rPr>
            </w:pPr>
          </w:p>
          <w:p w14:paraId="2C15D93B" w14:textId="77777777" w:rsidR="00262EBF" w:rsidRDefault="00262EBF" w:rsidP="00262EBF">
            <w:pPr>
              <w:spacing w:line="276" w:lineRule="auto"/>
              <w:jc w:val="both"/>
              <w:rPr>
                <w:rFonts w:ascii="Arial" w:hAnsi="Arial" w:cs="Arial"/>
                <w:sz w:val="22"/>
                <w:szCs w:val="22"/>
                <w:u w:val="single"/>
              </w:rPr>
            </w:pPr>
            <w:r>
              <w:rPr>
                <w:rFonts w:ascii="Arial" w:hAnsi="Arial" w:cs="Arial"/>
                <w:sz w:val="22"/>
                <w:szCs w:val="22"/>
                <w:u w:val="single"/>
              </w:rPr>
              <w:t>Nutrients</w:t>
            </w:r>
          </w:p>
          <w:p w14:paraId="5D3B66CD" w14:textId="77777777" w:rsidR="00262EBF" w:rsidRDefault="00262EBF" w:rsidP="00262EBF">
            <w:pPr>
              <w:spacing w:line="276" w:lineRule="auto"/>
              <w:jc w:val="both"/>
              <w:rPr>
                <w:rFonts w:ascii="Arial" w:hAnsi="Arial" w:cs="Arial"/>
                <w:sz w:val="22"/>
                <w:szCs w:val="22"/>
                <w:u w:val="single"/>
              </w:rPr>
            </w:pPr>
          </w:p>
          <w:p w14:paraId="401B7E46" w14:textId="114DD8BE" w:rsidR="000B010C" w:rsidRDefault="00262EBF" w:rsidP="00262EBF">
            <w:pPr>
              <w:spacing w:line="276" w:lineRule="auto"/>
              <w:jc w:val="both"/>
              <w:rPr>
                <w:rFonts w:ascii="Arial" w:hAnsi="Arial" w:cs="Arial"/>
                <w:sz w:val="22"/>
                <w:szCs w:val="22"/>
              </w:rPr>
            </w:pPr>
            <w:r>
              <w:rPr>
                <w:rFonts w:ascii="Arial" w:hAnsi="Arial" w:cs="Arial"/>
                <w:sz w:val="22"/>
                <w:szCs w:val="22"/>
              </w:rPr>
              <w:t xml:space="preserve">The development being assessed would result in a net increase in </w:t>
            </w:r>
            <w:r w:rsidR="000760D8">
              <w:rPr>
                <w:rFonts w:ascii="Arial" w:hAnsi="Arial" w:cs="Arial"/>
                <w:sz w:val="22"/>
                <w:szCs w:val="22"/>
              </w:rPr>
              <w:t xml:space="preserve">one dwelling </w:t>
            </w:r>
            <w:r>
              <w:rPr>
                <w:rFonts w:ascii="Arial" w:hAnsi="Arial" w:cs="Arial"/>
                <w:sz w:val="22"/>
                <w:szCs w:val="22"/>
              </w:rPr>
              <w:t xml:space="preserve">, which would be served by the </w:t>
            </w:r>
            <w:r w:rsidR="000760D8">
              <w:rPr>
                <w:rFonts w:ascii="Arial" w:hAnsi="Arial" w:cs="Arial"/>
                <w:sz w:val="22"/>
                <w:szCs w:val="22"/>
              </w:rPr>
              <w:t>Chicken Hall Lane</w:t>
            </w:r>
            <w:r w:rsidR="000E2537">
              <w:rPr>
                <w:rFonts w:ascii="Arial" w:hAnsi="Arial" w:cs="Arial"/>
                <w:sz w:val="22"/>
                <w:szCs w:val="22"/>
              </w:rPr>
              <w:t xml:space="preserve"> </w:t>
            </w:r>
            <w:r w:rsidR="00202897">
              <w:rPr>
                <w:rFonts w:ascii="Arial" w:hAnsi="Arial" w:cs="Arial"/>
                <w:sz w:val="22"/>
                <w:szCs w:val="22"/>
              </w:rPr>
              <w:t>Waste Water Treatment Works</w:t>
            </w:r>
            <w:r>
              <w:rPr>
                <w:rFonts w:ascii="Arial" w:hAnsi="Arial" w:cs="Arial"/>
                <w:sz w:val="22"/>
                <w:szCs w:val="22"/>
              </w:rPr>
              <w:t xml:space="preserve">, which ultimately feeds into the </w:t>
            </w:r>
            <w:r w:rsidR="000760D8">
              <w:rPr>
                <w:rFonts w:ascii="Arial" w:hAnsi="Arial" w:cs="Arial"/>
                <w:sz w:val="22"/>
                <w:szCs w:val="22"/>
              </w:rPr>
              <w:t>River Itchen</w:t>
            </w:r>
            <w:r>
              <w:rPr>
                <w:rFonts w:ascii="Arial" w:hAnsi="Arial" w:cs="Arial"/>
                <w:sz w:val="22"/>
                <w:szCs w:val="22"/>
              </w:rPr>
              <w:t xml:space="preserve">.  </w:t>
            </w:r>
          </w:p>
          <w:p w14:paraId="0BF55ECE" w14:textId="77777777" w:rsidR="000B010C" w:rsidRDefault="000B010C" w:rsidP="00262EBF">
            <w:pPr>
              <w:spacing w:line="276" w:lineRule="auto"/>
              <w:jc w:val="both"/>
              <w:rPr>
                <w:rFonts w:ascii="Arial" w:hAnsi="Arial" w:cs="Arial"/>
                <w:sz w:val="22"/>
                <w:szCs w:val="22"/>
              </w:rPr>
            </w:pPr>
          </w:p>
          <w:p w14:paraId="1C66EDC2" w14:textId="1414757A" w:rsidR="00262EBF" w:rsidRDefault="00262EBF" w:rsidP="00262EBF">
            <w:pPr>
              <w:spacing w:line="276" w:lineRule="auto"/>
              <w:jc w:val="both"/>
              <w:rPr>
                <w:rFonts w:ascii="Arial" w:hAnsi="Arial" w:cs="Arial"/>
                <w:sz w:val="22"/>
                <w:szCs w:val="22"/>
              </w:rPr>
            </w:pPr>
            <w:r>
              <w:rPr>
                <w:rFonts w:ascii="Arial" w:hAnsi="Arial" w:cs="Arial"/>
                <w:sz w:val="22"/>
                <w:szCs w:val="22"/>
              </w:rPr>
              <w:t xml:space="preserve">The </w:t>
            </w:r>
            <w:r w:rsidR="000760D8">
              <w:rPr>
                <w:rFonts w:ascii="Arial" w:hAnsi="Arial" w:cs="Arial"/>
                <w:sz w:val="22"/>
                <w:szCs w:val="22"/>
              </w:rPr>
              <w:t>A</w:t>
            </w:r>
            <w:r>
              <w:rPr>
                <w:rFonts w:ascii="Arial" w:hAnsi="Arial" w:cs="Arial"/>
                <w:sz w:val="22"/>
                <w:szCs w:val="22"/>
              </w:rPr>
              <w:t xml:space="preserve">pplicants have submitted a </w:t>
            </w:r>
            <w:r w:rsidR="00712850">
              <w:rPr>
                <w:rFonts w:ascii="Arial" w:hAnsi="Arial" w:cs="Arial"/>
                <w:sz w:val="22"/>
                <w:szCs w:val="22"/>
              </w:rPr>
              <w:t>nutrient budget</w:t>
            </w:r>
            <w:r>
              <w:rPr>
                <w:rFonts w:ascii="Arial" w:hAnsi="Arial" w:cs="Arial"/>
                <w:sz w:val="22"/>
                <w:szCs w:val="22"/>
              </w:rPr>
              <w:t xml:space="preserve"> </w:t>
            </w:r>
            <w:r w:rsidR="00353769">
              <w:rPr>
                <w:rFonts w:ascii="Arial" w:hAnsi="Arial" w:cs="Arial"/>
                <w:sz w:val="22"/>
                <w:szCs w:val="22"/>
              </w:rPr>
              <w:t xml:space="preserve">calculator </w:t>
            </w:r>
            <w:r>
              <w:rPr>
                <w:rFonts w:ascii="Arial" w:hAnsi="Arial" w:cs="Arial"/>
                <w:sz w:val="22"/>
                <w:szCs w:val="22"/>
              </w:rPr>
              <w:t>in line with Natural England’s guidance</w:t>
            </w:r>
            <w:r w:rsidR="00815E2A">
              <w:rPr>
                <w:rFonts w:ascii="Arial" w:hAnsi="Arial" w:cs="Arial"/>
                <w:sz w:val="22"/>
                <w:szCs w:val="22"/>
              </w:rPr>
              <w:t xml:space="preserve"> (enclosed for reference)</w:t>
            </w:r>
            <w:r w:rsidR="00712850">
              <w:rPr>
                <w:rFonts w:ascii="Arial" w:hAnsi="Arial" w:cs="Arial"/>
                <w:sz w:val="22"/>
                <w:szCs w:val="22"/>
              </w:rPr>
              <w:t xml:space="preserve"> </w:t>
            </w:r>
            <w:r w:rsidR="000C6390">
              <w:rPr>
                <w:rFonts w:ascii="Arial" w:hAnsi="Arial" w:cs="Arial"/>
                <w:sz w:val="22"/>
                <w:szCs w:val="22"/>
              </w:rPr>
              <w:t xml:space="preserve">and taking account of the specific </w:t>
            </w:r>
            <w:r w:rsidR="00E457B3">
              <w:rPr>
                <w:rFonts w:ascii="Arial" w:hAnsi="Arial" w:cs="Arial"/>
                <w:sz w:val="22"/>
                <w:szCs w:val="22"/>
              </w:rPr>
              <w:t>characteristics of the proposed development.</w:t>
            </w:r>
            <w:r w:rsidR="00712850">
              <w:rPr>
                <w:rFonts w:ascii="Arial" w:hAnsi="Arial" w:cs="Arial"/>
                <w:sz w:val="22"/>
                <w:szCs w:val="22"/>
              </w:rPr>
              <w:t xml:space="preserve"> The nutrient budget concludes </w:t>
            </w:r>
            <w:r w:rsidR="00712850" w:rsidRPr="0095673F">
              <w:rPr>
                <w:rFonts w:ascii="Arial" w:hAnsi="Arial" w:cs="Arial"/>
                <w:sz w:val="22"/>
                <w:szCs w:val="22"/>
              </w:rPr>
              <w:t xml:space="preserve">that </w:t>
            </w:r>
            <w:r w:rsidRPr="0095673F">
              <w:rPr>
                <w:rFonts w:ascii="Arial" w:hAnsi="Arial" w:cs="Arial"/>
                <w:sz w:val="22"/>
                <w:szCs w:val="22"/>
              </w:rPr>
              <w:t xml:space="preserve">the development would result in an </w:t>
            </w:r>
            <w:r w:rsidR="00EE478B" w:rsidRPr="0095673F">
              <w:rPr>
                <w:rFonts w:ascii="Arial" w:hAnsi="Arial" w:cs="Arial"/>
                <w:sz w:val="22"/>
                <w:szCs w:val="22"/>
              </w:rPr>
              <w:t xml:space="preserve">annual </w:t>
            </w:r>
            <w:r w:rsidR="009D4F19">
              <w:rPr>
                <w:rFonts w:ascii="Arial" w:hAnsi="Arial" w:cs="Arial"/>
                <w:sz w:val="22"/>
                <w:szCs w:val="22"/>
              </w:rPr>
              <w:t>nitrogen load of</w:t>
            </w:r>
            <w:r w:rsidR="00EE478B" w:rsidRPr="0095673F">
              <w:rPr>
                <w:rFonts w:ascii="Arial" w:hAnsi="Arial" w:cs="Arial"/>
                <w:sz w:val="22"/>
                <w:szCs w:val="22"/>
              </w:rPr>
              <w:t xml:space="preserve"> </w:t>
            </w:r>
            <w:r w:rsidR="00C739B9">
              <w:rPr>
                <w:rFonts w:ascii="Arial" w:hAnsi="Arial" w:cs="Arial"/>
                <w:sz w:val="22"/>
                <w:szCs w:val="22"/>
              </w:rPr>
              <w:t xml:space="preserve">6.31 </w:t>
            </w:r>
            <w:r w:rsidR="00BA11AD">
              <w:rPr>
                <w:rFonts w:ascii="Arial" w:hAnsi="Arial" w:cs="Arial"/>
                <w:sz w:val="22"/>
                <w:szCs w:val="22"/>
              </w:rPr>
              <w:t>kg/</w:t>
            </w:r>
            <w:r w:rsidR="00BA11AD" w:rsidRPr="0095673F">
              <w:rPr>
                <w:rFonts w:ascii="Arial" w:hAnsi="Arial" w:cs="Arial"/>
                <w:sz w:val="22"/>
                <w:szCs w:val="22"/>
              </w:rPr>
              <w:t xml:space="preserve">TN/year </w:t>
            </w:r>
            <w:r w:rsidR="00C739B9">
              <w:rPr>
                <w:rFonts w:ascii="Arial" w:hAnsi="Arial" w:cs="Arial"/>
                <w:sz w:val="22"/>
                <w:szCs w:val="22"/>
              </w:rPr>
              <w:t>pre-</w:t>
            </w:r>
            <w:r w:rsidR="00BA11AD">
              <w:rPr>
                <w:rFonts w:ascii="Arial" w:hAnsi="Arial" w:cs="Arial"/>
                <w:sz w:val="22"/>
                <w:szCs w:val="22"/>
              </w:rPr>
              <w:t xml:space="preserve">2030 and </w:t>
            </w:r>
            <w:r w:rsidR="0095673F" w:rsidRPr="0095673F">
              <w:rPr>
                <w:rFonts w:ascii="Arial" w:hAnsi="Arial" w:cs="Arial"/>
                <w:sz w:val="22"/>
                <w:szCs w:val="22"/>
              </w:rPr>
              <w:t>1.18</w:t>
            </w:r>
            <w:r w:rsidR="00470753" w:rsidRPr="0095673F">
              <w:rPr>
                <w:rFonts w:ascii="Arial" w:hAnsi="Arial" w:cs="Arial"/>
                <w:sz w:val="22"/>
                <w:szCs w:val="22"/>
              </w:rPr>
              <w:t xml:space="preserve"> </w:t>
            </w:r>
            <w:r w:rsidR="00DE0A43" w:rsidRPr="0095673F">
              <w:rPr>
                <w:rFonts w:ascii="Arial" w:hAnsi="Arial" w:cs="Arial"/>
                <w:sz w:val="22"/>
                <w:szCs w:val="22"/>
              </w:rPr>
              <w:t>kg</w:t>
            </w:r>
            <w:r w:rsidR="00BA11AD">
              <w:rPr>
                <w:rFonts w:ascii="Arial" w:hAnsi="Arial" w:cs="Arial"/>
                <w:sz w:val="22"/>
                <w:szCs w:val="22"/>
              </w:rPr>
              <w:t>/</w:t>
            </w:r>
            <w:r w:rsidR="00DE0A43" w:rsidRPr="0095673F">
              <w:rPr>
                <w:rFonts w:ascii="Arial" w:hAnsi="Arial" w:cs="Arial"/>
                <w:sz w:val="22"/>
                <w:szCs w:val="22"/>
              </w:rPr>
              <w:t>TN</w:t>
            </w:r>
            <w:r w:rsidRPr="0095673F">
              <w:rPr>
                <w:rFonts w:ascii="Arial" w:hAnsi="Arial" w:cs="Arial"/>
                <w:sz w:val="22"/>
                <w:szCs w:val="22"/>
              </w:rPr>
              <w:t>/year</w:t>
            </w:r>
            <w:r w:rsidR="0095673F" w:rsidRPr="0095673F">
              <w:rPr>
                <w:rFonts w:ascii="Arial" w:hAnsi="Arial" w:cs="Arial"/>
                <w:sz w:val="22"/>
                <w:szCs w:val="22"/>
              </w:rPr>
              <w:t xml:space="preserve"> </w:t>
            </w:r>
            <w:r w:rsidR="001714CD">
              <w:rPr>
                <w:rFonts w:ascii="Arial" w:hAnsi="Arial" w:cs="Arial"/>
                <w:sz w:val="22"/>
                <w:szCs w:val="22"/>
              </w:rPr>
              <w:t xml:space="preserve">thereafter </w:t>
            </w:r>
            <w:r w:rsidR="0095673F" w:rsidRPr="0095673F">
              <w:rPr>
                <w:rFonts w:ascii="Arial" w:hAnsi="Arial" w:cs="Arial"/>
                <w:sz w:val="22"/>
                <w:szCs w:val="22"/>
              </w:rPr>
              <w:t>(including</w:t>
            </w:r>
            <w:r w:rsidR="0095673F">
              <w:rPr>
                <w:rFonts w:ascii="Arial" w:hAnsi="Arial" w:cs="Arial"/>
                <w:sz w:val="22"/>
                <w:szCs w:val="22"/>
              </w:rPr>
              <w:t xml:space="preserve"> the</w:t>
            </w:r>
            <w:r w:rsidR="0095673F" w:rsidRPr="0095673F">
              <w:rPr>
                <w:rFonts w:ascii="Arial" w:hAnsi="Arial" w:cs="Arial"/>
                <w:sz w:val="22"/>
                <w:szCs w:val="22"/>
              </w:rPr>
              <w:t xml:space="preserve"> 20% buffer)</w:t>
            </w:r>
            <w:r w:rsidR="001714CD">
              <w:rPr>
                <w:rFonts w:ascii="Arial" w:hAnsi="Arial" w:cs="Arial"/>
                <w:sz w:val="22"/>
                <w:szCs w:val="22"/>
              </w:rPr>
              <w:t xml:space="preserve">. The </w:t>
            </w:r>
            <w:r w:rsidR="00131F32">
              <w:rPr>
                <w:rFonts w:ascii="Arial" w:hAnsi="Arial" w:cs="Arial"/>
                <w:sz w:val="22"/>
                <w:szCs w:val="22"/>
              </w:rPr>
              <w:t xml:space="preserve">proposal would also have an </w:t>
            </w:r>
            <w:r w:rsidR="001714CD">
              <w:rPr>
                <w:rFonts w:ascii="Arial" w:hAnsi="Arial" w:cs="Arial"/>
                <w:sz w:val="22"/>
                <w:szCs w:val="22"/>
              </w:rPr>
              <w:t xml:space="preserve">annual phosphates load </w:t>
            </w:r>
            <w:r w:rsidR="00131F32">
              <w:rPr>
                <w:rFonts w:ascii="Arial" w:hAnsi="Arial" w:cs="Arial"/>
                <w:sz w:val="22"/>
                <w:szCs w:val="22"/>
              </w:rPr>
              <w:t>of</w:t>
            </w:r>
            <w:r w:rsidR="00B56AB9">
              <w:rPr>
                <w:rFonts w:ascii="Arial" w:hAnsi="Arial" w:cs="Arial"/>
                <w:sz w:val="22"/>
                <w:szCs w:val="22"/>
              </w:rPr>
              <w:t xml:space="preserve"> 0.13 </w:t>
            </w:r>
            <w:r w:rsidR="00131F32" w:rsidRPr="0095673F">
              <w:rPr>
                <w:rFonts w:ascii="Arial" w:hAnsi="Arial" w:cs="Arial"/>
                <w:sz w:val="22"/>
                <w:szCs w:val="22"/>
              </w:rPr>
              <w:t>kg</w:t>
            </w:r>
            <w:r w:rsidR="00131F32">
              <w:rPr>
                <w:rFonts w:ascii="Arial" w:hAnsi="Arial" w:cs="Arial"/>
                <w:sz w:val="22"/>
                <w:szCs w:val="22"/>
              </w:rPr>
              <w:t>/</w:t>
            </w:r>
            <w:r w:rsidR="00131F32">
              <w:rPr>
                <w:rFonts w:ascii="Arial" w:hAnsi="Arial" w:cs="Arial"/>
                <w:sz w:val="22"/>
                <w:szCs w:val="22"/>
              </w:rPr>
              <w:t>TP</w:t>
            </w:r>
            <w:r w:rsidR="00131F32" w:rsidRPr="0095673F">
              <w:rPr>
                <w:rFonts w:ascii="Arial" w:hAnsi="Arial" w:cs="Arial"/>
                <w:sz w:val="22"/>
                <w:szCs w:val="22"/>
              </w:rPr>
              <w:t>/year</w:t>
            </w:r>
            <w:r w:rsidR="001714CD">
              <w:rPr>
                <w:rFonts w:ascii="Arial" w:hAnsi="Arial" w:cs="Arial"/>
                <w:sz w:val="22"/>
                <w:szCs w:val="22"/>
              </w:rPr>
              <w:t xml:space="preserve"> </w:t>
            </w:r>
            <w:r w:rsidR="00131F32">
              <w:rPr>
                <w:rFonts w:ascii="Arial" w:hAnsi="Arial" w:cs="Arial"/>
                <w:sz w:val="22"/>
                <w:szCs w:val="22"/>
              </w:rPr>
              <w:t xml:space="preserve">pre-2030 </w:t>
            </w:r>
            <w:r w:rsidR="00131F32">
              <w:rPr>
                <w:rFonts w:ascii="Arial" w:hAnsi="Arial" w:cs="Arial"/>
                <w:sz w:val="22"/>
                <w:szCs w:val="22"/>
              </w:rPr>
              <w:t xml:space="preserve">and 0.06 </w:t>
            </w:r>
            <w:r w:rsidR="00131F32" w:rsidRPr="0095673F">
              <w:rPr>
                <w:rFonts w:ascii="Arial" w:hAnsi="Arial" w:cs="Arial"/>
                <w:sz w:val="22"/>
                <w:szCs w:val="22"/>
              </w:rPr>
              <w:t>kg</w:t>
            </w:r>
            <w:r w:rsidR="00131F32">
              <w:rPr>
                <w:rFonts w:ascii="Arial" w:hAnsi="Arial" w:cs="Arial"/>
                <w:sz w:val="22"/>
                <w:szCs w:val="22"/>
              </w:rPr>
              <w:t>/TP</w:t>
            </w:r>
            <w:r w:rsidR="00131F32" w:rsidRPr="0095673F">
              <w:rPr>
                <w:rFonts w:ascii="Arial" w:hAnsi="Arial" w:cs="Arial"/>
                <w:sz w:val="22"/>
                <w:szCs w:val="22"/>
              </w:rPr>
              <w:t>/year</w:t>
            </w:r>
            <w:r w:rsidR="00131F32">
              <w:rPr>
                <w:rFonts w:ascii="Arial" w:hAnsi="Arial" w:cs="Arial"/>
                <w:sz w:val="22"/>
                <w:szCs w:val="22"/>
              </w:rPr>
              <w:t xml:space="preserve"> thereafter </w:t>
            </w:r>
            <w:r w:rsidR="00131F32" w:rsidRPr="0095673F">
              <w:rPr>
                <w:rFonts w:ascii="Arial" w:hAnsi="Arial" w:cs="Arial"/>
                <w:sz w:val="22"/>
                <w:szCs w:val="22"/>
              </w:rPr>
              <w:t>(including</w:t>
            </w:r>
            <w:r w:rsidR="00131F32">
              <w:rPr>
                <w:rFonts w:ascii="Arial" w:hAnsi="Arial" w:cs="Arial"/>
                <w:sz w:val="22"/>
                <w:szCs w:val="22"/>
              </w:rPr>
              <w:t xml:space="preserve"> the</w:t>
            </w:r>
            <w:r w:rsidR="00131F32" w:rsidRPr="0095673F">
              <w:rPr>
                <w:rFonts w:ascii="Arial" w:hAnsi="Arial" w:cs="Arial"/>
                <w:sz w:val="22"/>
                <w:szCs w:val="22"/>
              </w:rPr>
              <w:t xml:space="preserve"> 20% buffer)</w:t>
            </w:r>
            <w:r w:rsidR="00131F32">
              <w:rPr>
                <w:rFonts w:ascii="Arial" w:hAnsi="Arial" w:cs="Arial"/>
                <w:sz w:val="22"/>
                <w:szCs w:val="22"/>
              </w:rPr>
              <w:t>.</w:t>
            </w:r>
          </w:p>
          <w:p w14:paraId="25E0E71B" w14:textId="77777777" w:rsidR="00262EBF" w:rsidRDefault="00262EBF" w:rsidP="00262EBF">
            <w:pPr>
              <w:spacing w:line="276" w:lineRule="auto"/>
              <w:jc w:val="both"/>
              <w:rPr>
                <w:rFonts w:ascii="Arial" w:hAnsi="Arial" w:cs="Arial"/>
                <w:sz w:val="22"/>
                <w:szCs w:val="22"/>
              </w:rPr>
            </w:pPr>
          </w:p>
          <w:p w14:paraId="400EC436" w14:textId="76C6AC41" w:rsidR="00262EBF" w:rsidRDefault="00262EBF" w:rsidP="00262EBF">
            <w:pPr>
              <w:spacing w:line="276" w:lineRule="auto"/>
              <w:jc w:val="both"/>
              <w:rPr>
                <w:rFonts w:ascii="Arial" w:hAnsi="Arial" w:cs="Arial"/>
                <w:sz w:val="22"/>
                <w:szCs w:val="22"/>
              </w:rPr>
            </w:pPr>
            <w:r>
              <w:rPr>
                <w:rFonts w:ascii="Arial" w:hAnsi="Arial" w:cs="Arial"/>
                <w:sz w:val="22"/>
                <w:szCs w:val="22"/>
              </w:rPr>
              <w:t>I</w:t>
            </w:r>
            <w:r w:rsidRPr="003F4430">
              <w:rPr>
                <w:rFonts w:ascii="Arial" w:hAnsi="Arial" w:cs="Arial"/>
                <w:sz w:val="22"/>
                <w:szCs w:val="22"/>
              </w:rPr>
              <w:t>t</w:t>
            </w:r>
            <w:r>
              <w:rPr>
                <w:rFonts w:ascii="Arial" w:hAnsi="Arial" w:cs="Arial"/>
                <w:sz w:val="22"/>
                <w:szCs w:val="22"/>
              </w:rPr>
              <w:t xml:space="preserve"> has been agreed between the </w:t>
            </w:r>
            <w:r w:rsidR="00131F32">
              <w:rPr>
                <w:rFonts w:ascii="Arial" w:hAnsi="Arial" w:cs="Arial"/>
                <w:sz w:val="22"/>
                <w:szCs w:val="22"/>
              </w:rPr>
              <w:t>A</w:t>
            </w:r>
            <w:r>
              <w:rPr>
                <w:rFonts w:ascii="Arial" w:hAnsi="Arial" w:cs="Arial"/>
                <w:sz w:val="22"/>
                <w:szCs w:val="22"/>
              </w:rPr>
              <w:t xml:space="preserve">pplicants and the Local Planning Authority that the </w:t>
            </w:r>
            <w:r w:rsidR="00131F32">
              <w:rPr>
                <w:rFonts w:ascii="Arial" w:hAnsi="Arial" w:cs="Arial"/>
                <w:sz w:val="22"/>
                <w:szCs w:val="22"/>
              </w:rPr>
              <w:t>A</w:t>
            </w:r>
            <w:r>
              <w:rPr>
                <w:rFonts w:ascii="Arial" w:hAnsi="Arial" w:cs="Arial"/>
                <w:sz w:val="22"/>
                <w:szCs w:val="22"/>
              </w:rPr>
              <w:t xml:space="preserve">pplicant can mitigate the increase in nitrogen </w:t>
            </w:r>
            <w:r w:rsidR="00131F32">
              <w:rPr>
                <w:rFonts w:ascii="Arial" w:hAnsi="Arial" w:cs="Arial"/>
                <w:sz w:val="22"/>
                <w:szCs w:val="22"/>
              </w:rPr>
              <w:t xml:space="preserve">and phosphorous </w:t>
            </w:r>
            <w:r>
              <w:rPr>
                <w:rFonts w:ascii="Arial" w:hAnsi="Arial" w:cs="Arial"/>
                <w:sz w:val="22"/>
                <w:szCs w:val="22"/>
              </w:rPr>
              <w:t xml:space="preserve">through the purchase of credits </w:t>
            </w:r>
            <w:r w:rsidR="00131F32">
              <w:rPr>
                <w:rFonts w:ascii="Arial" w:hAnsi="Arial" w:cs="Arial"/>
                <w:sz w:val="22"/>
                <w:szCs w:val="22"/>
              </w:rPr>
              <w:t>within</w:t>
            </w:r>
            <w:r>
              <w:rPr>
                <w:rFonts w:ascii="Arial" w:hAnsi="Arial" w:cs="Arial"/>
                <w:sz w:val="22"/>
                <w:szCs w:val="22"/>
              </w:rPr>
              <w:t xml:space="preserve"> the Council’s Nutrient Neutrality Offset Scheme.  This scheme involves taking land within the Borough, which is within the control and ownership of the Council, out of agricultural use (high intensity) and placing it into a lower intensity use (open space).  Further detail can be found via the following link:</w:t>
            </w:r>
          </w:p>
          <w:p w14:paraId="7DD9E9AE" w14:textId="2DB848A2" w:rsidR="004B028A" w:rsidRPr="006775AB" w:rsidRDefault="00DD1D69" w:rsidP="00262EBF">
            <w:pPr>
              <w:spacing w:line="276" w:lineRule="auto"/>
              <w:jc w:val="both"/>
              <w:rPr>
                <w:rFonts w:ascii="Arial" w:hAnsi="Arial" w:cs="Arial"/>
                <w:sz w:val="22"/>
                <w:szCs w:val="22"/>
              </w:rPr>
            </w:pPr>
            <w:hyperlink r:id="rId8" w:anchor=":~:text=In%20response%20to%20the%20impact,the%20purchase%20of%20nitrate%20credits." w:history="1">
              <w:r w:rsidRPr="006775AB">
                <w:rPr>
                  <w:rStyle w:val="Hyperlink"/>
                  <w:rFonts w:ascii="Arial" w:hAnsi="Arial" w:cs="Arial"/>
                  <w:sz w:val="22"/>
                  <w:szCs w:val="22"/>
                </w:rPr>
                <w:t>Nutrient Offset Scheme (eastleigh.gov.uk)</w:t>
              </w:r>
            </w:hyperlink>
          </w:p>
          <w:p w14:paraId="010C096E" w14:textId="77777777" w:rsidR="00DD1D69" w:rsidRDefault="00DD1D69" w:rsidP="00262EBF">
            <w:pPr>
              <w:spacing w:line="276" w:lineRule="auto"/>
              <w:jc w:val="both"/>
              <w:rPr>
                <w:rFonts w:ascii="Arial" w:hAnsi="Arial" w:cs="Arial"/>
                <w:sz w:val="22"/>
                <w:szCs w:val="22"/>
              </w:rPr>
            </w:pPr>
          </w:p>
          <w:p w14:paraId="4D37CC83" w14:textId="6F1ACD05" w:rsidR="004B028A" w:rsidRDefault="00293720" w:rsidP="00262EBF">
            <w:pPr>
              <w:spacing w:line="276" w:lineRule="auto"/>
              <w:jc w:val="both"/>
              <w:rPr>
                <w:rFonts w:ascii="Arial" w:hAnsi="Arial" w:cs="Arial"/>
                <w:sz w:val="22"/>
                <w:szCs w:val="22"/>
              </w:rPr>
            </w:pPr>
            <w:r>
              <w:rPr>
                <w:rFonts w:ascii="Arial" w:hAnsi="Arial" w:cs="Arial"/>
                <w:sz w:val="22"/>
                <w:szCs w:val="22"/>
              </w:rPr>
              <w:t xml:space="preserve">Upon purchasing the credits, the </w:t>
            </w:r>
            <w:r w:rsidR="00CE6E6B">
              <w:rPr>
                <w:rFonts w:ascii="Arial" w:hAnsi="Arial" w:cs="Arial"/>
                <w:sz w:val="22"/>
                <w:szCs w:val="22"/>
              </w:rPr>
              <w:t>A</w:t>
            </w:r>
            <w:r>
              <w:rPr>
                <w:rFonts w:ascii="Arial" w:hAnsi="Arial" w:cs="Arial"/>
                <w:sz w:val="22"/>
                <w:szCs w:val="22"/>
              </w:rPr>
              <w:t xml:space="preserve">pplicant would receive a vesting certificate which would identify the nitrate credits which have been assigned to the planning application and a record of this investment </w:t>
            </w:r>
            <w:r w:rsidR="008731B9">
              <w:rPr>
                <w:rFonts w:ascii="Arial" w:hAnsi="Arial" w:cs="Arial"/>
                <w:sz w:val="22"/>
                <w:szCs w:val="22"/>
              </w:rPr>
              <w:t>would be</w:t>
            </w:r>
            <w:r>
              <w:rPr>
                <w:rFonts w:ascii="Arial" w:hAnsi="Arial" w:cs="Arial"/>
                <w:sz w:val="22"/>
                <w:szCs w:val="22"/>
              </w:rPr>
              <w:t xml:space="preserve"> retained by the Council.  </w:t>
            </w:r>
          </w:p>
          <w:p w14:paraId="10D763F6" w14:textId="77777777" w:rsidR="00262EBF" w:rsidRDefault="00262EBF" w:rsidP="00262EBF">
            <w:pPr>
              <w:spacing w:line="276" w:lineRule="auto"/>
              <w:jc w:val="both"/>
              <w:rPr>
                <w:rFonts w:ascii="Arial" w:hAnsi="Arial" w:cs="Arial"/>
                <w:sz w:val="22"/>
                <w:szCs w:val="22"/>
              </w:rPr>
            </w:pPr>
          </w:p>
          <w:p w14:paraId="32228299" w14:textId="766ECD90" w:rsidR="00262EBF" w:rsidRDefault="00262EBF" w:rsidP="00262EBF">
            <w:pPr>
              <w:spacing w:line="276" w:lineRule="auto"/>
              <w:jc w:val="both"/>
              <w:rPr>
                <w:rFonts w:ascii="Arial" w:hAnsi="Arial" w:cs="Arial"/>
                <w:sz w:val="22"/>
                <w:szCs w:val="22"/>
              </w:rPr>
            </w:pPr>
            <w:r>
              <w:rPr>
                <w:rFonts w:ascii="Arial" w:hAnsi="Arial" w:cs="Arial"/>
                <w:sz w:val="22"/>
                <w:szCs w:val="22"/>
              </w:rPr>
              <w:t xml:space="preserve">The Council, as Competent Authority is satisfied that sufficient land is available to mitigate the impact of increased </w:t>
            </w:r>
            <w:r w:rsidR="00641C69">
              <w:rPr>
                <w:rFonts w:ascii="Arial" w:hAnsi="Arial" w:cs="Arial"/>
                <w:sz w:val="22"/>
                <w:szCs w:val="22"/>
              </w:rPr>
              <w:t>nutrients</w:t>
            </w:r>
            <w:r>
              <w:rPr>
                <w:rFonts w:ascii="Arial" w:hAnsi="Arial" w:cs="Arial"/>
                <w:sz w:val="22"/>
                <w:szCs w:val="22"/>
              </w:rPr>
              <w:t xml:space="preserve"> from the development.  </w:t>
            </w:r>
          </w:p>
          <w:p w14:paraId="69453470" w14:textId="63019CAA" w:rsidR="0070698A" w:rsidRPr="000C594E" w:rsidRDefault="0070698A" w:rsidP="00632D53">
            <w:pPr>
              <w:spacing w:line="276" w:lineRule="auto"/>
              <w:jc w:val="both"/>
              <w:rPr>
                <w:rFonts w:ascii="Arial" w:hAnsi="Arial" w:cs="Arial"/>
                <w:color w:val="FF0000"/>
                <w:sz w:val="22"/>
                <w:szCs w:val="22"/>
              </w:rPr>
            </w:pPr>
          </w:p>
        </w:tc>
      </w:tr>
      <w:tr w:rsidR="00EA0957" w14:paraId="401E729C" w14:textId="77777777" w:rsidTr="00376970">
        <w:tc>
          <w:tcPr>
            <w:tcW w:w="9608" w:type="dxa"/>
            <w:gridSpan w:val="2"/>
            <w:tcBorders>
              <w:top w:val="single" w:sz="12" w:space="0" w:color="0083BE"/>
            </w:tcBorders>
            <w:shd w:val="clear" w:color="auto" w:fill="70AD47" w:themeFill="accent6"/>
          </w:tcPr>
          <w:p w14:paraId="66D2CD64" w14:textId="77777777" w:rsidR="00DA2ECF" w:rsidRPr="00B25729" w:rsidRDefault="00F20531" w:rsidP="003D781A">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place">
              <w:smartTag w:uri="urn:schemas-microsoft-com:office:smarttags" w:element="country-region">
                <w:r>
                  <w:rPr>
                    <w:rFonts w:ascii="Arial" w:hAnsi="Arial" w:cs="Arial"/>
                    <w:b/>
                    <w:color w:val="FFFFFF"/>
                    <w:sz w:val="22"/>
                    <w:szCs w:val="22"/>
                  </w:rPr>
                  <w:t>England</w:t>
                </w:r>
              </w:smartTag>
            </w:smartTag>
          </w:p>
        </w:tc>
      </w:tr>
      <w:tr w:rsidR="00EA0957" w14:paraId="36421AEC" w14:textId="77777777" w:rsidTr="00E235BE">
        <w:tc>
          <w:tcPr>
            <w:tcW w:w="9608" w:type="dxa"/>
            <w:gridSpan w:val="2"/>
          </w:tcPr>
          <w:p w14:paraId="4C032A5F" w14:textId="461726B7" w:rsidR="009F365D" w:rsidRDefault="00F20531" w:rsidP="00BC7C5B">
            <w:pPr>
              <w:spacing w:line="276" w:lineRule="auto"/>
              <w:rPr>
                <w:rFonts w:ascii="Arial" w:hAnsi="Arial" w:cs="Arial"/>
                <w:sz w:val="22"/>
                <w:szCs w:val="22"/>
              </w:rPr>
            </w:pPr>
            <w:r w:rsidRPr="00863D3E">
              <w:rPr>
                <w:rFonts w:ascii="Arial" w:hAnsi="Arial" w:cs="Arial"/>
                <w:sz w:val="22"/>
                <w:szCs w:val="22"/>
              </w:rPr>
              <w:t>In conclusion,</w:t>
            </w:r>
            <w:r w:rsidR="00EB38E9" w:rsidRPr="00863D3E">
              <w:rPr>
                <w:rFonts w:ascii="Arial" w:hAnsi="Arial" w:cs="Arial"/>
                <w:sz w:val="22"/>
                <w:szCs w:val="22"/>
              </w:rPr>
              <w:t xml:space="preserve"> subject to</w:t>
            </w:r>
            <w:r w:rsidR="009F365D" w:rsidRPr="00863D3E">
              <w:rPr>
                <w:rFonts w:ascii="Arial" w:hAnsi="Arial" w:cs="Arial"/>
                <w:sz w:val="22"/>
                <w:szCs w:val="22"/>
              </w:rPr>
              <w:t xml:space="preserve"> </w:t>
            </w:r>
            <w:r w:rsidR="00C6212D" w:rsidRPr="00863D3E">
              <w:rPr>
                <w:rFonts w:ascii="Arial" w:hAnsi="Arial" w:cs="Arial"/>
                <w:sz w:val="22"/>
                <w:szCs w:val="22"/>
              </w:rPr>
              <w:t>mitigation in accordance with the Council’s Nutrient Neutrality Offset Scheme, a contribution towards the Solent Recreation Mitigation Strategy</w:t>
            </w:r>
            <w:r w:rsidR="00573FE8" w:rsidRPr="00863D3E">
              <w:rPr>
                <w:rFonts w:ascii="Arial" w:hAnsi="Arial" w:cs="Arial"/>
                <w:sz w:val="22"/>
                <w:szCs w:val="22"/>
              </w:rPr>
              <w:t xml:space="preserve"> </w:t>
            </w:r>
            <w:r w:rsidR="00B83CC8" w:rsidRPr="00863D3E">
              <w:rPr>
                <w:rFonts w:ascii="Arial" w:hAnsi="Arial" w:cs="Arial"/>
                <w:sz w:val="22"/>
                <w:szCs w:val="22"/>
              </w:rPr>
              <w:t>and the Council’s New Forest Mitigation Strategy</w:t>
            </w:r>
            <w:r w:rsidR="00573FE8" w:rsidRPr="00863D3E">
              <w:rPr>
                <w:rFonts w:ascii="Arial" w:hAnsi="Arial" w:cs="Arial"/>
                <w:sz w:val="22"/>
                <w:szCs w:val="22"/>
              </w:rPr>
              <w:t xml:space="preserve">, </w:t>
            </w:r>
            <w:r w:rsidR="00C7546D">
              <w:rPr>
                <w:rFonts w:ascii="Arial" w:hAnsi="Arial" w:cs="Arial"/>
                <w:sz w:val="22"/>
                <w:szCs w:val="22"/>
              </w:rPr>
              <w:t xml:space="preserve">and the </w:t>
            </w:r>
            <w:r w:rsidR="000276FC">
              <w:rPr>
                <w:rFonts w:ascii="Arial" w:hAnsi="Arial" w:cs="Arial"/>
                <w:sz w:val="22"/>
                <w:szCs w:val="22"/>
              </w:rPr>
              <w:t>imposition</w:t>
            </w:r>
            <w:r w:rsidR="00C7546D">
              <w:rPr>
                <w:rFonts w:ascii="Arial" w:hAnsi="Arial" w:cs="Arial"/>
                <w:sz w:val="22"/>
                <w:szCs w:val="22"/>
              </w:rPr>
              <w:t xml:space="preserve"> of conditions to </w:t>
            </w:r>
            <w:r w:rsidR="00632D53">
              <w:rPr>
                <w:rFonts w:ascii="Arial" w:hAnsi="Arial" w:cs="Arial"/>
                <w:sz w:val="22"/>
                <w:szCs w:val="22"/>
              </w:rPr>
              <w:t>credits within the Council’s</w:t>
            </w:r>
            <w:r w:rsidR="00C7546D">
              <w:rPr>
                <w:rFonts w:ascii="Arial" w:hAnsi="Arial" w:cs="Arial"/>
                <w:sz w:val="22"/>
                <w:szCs w:val="22"/>
              </w:rPr>
              <w:t xml:space="preserve"> </w:t>
            </w:r>
            <w:r w:rsidR="00632D53">
              <w:rPr>
                <w:rFonts w:ascii="Arial" w:hAnsi="Arial" w:cs="Arial"/>
                <w:sz w:val="22"/>
                <w:szCs w:val="22"/>
              </w:rPr>
              <w:t>nitrogen mitigation scheme</w:t>
            </w:r>
            <w:r w:rsidR="00C7546D">
              <w:rPr>
                <w:rFonts w:ascii="Arial" w:hAnsi="Arial" w:cs="Arial"/>
                <w:sz w:val="22"/>
                <w:szCs w:val="22"/>
              </w:rPr>
              <w:t xml:space="preserve">, </w:t>
            </w:r>
            <w:r w:rsidRPr="00863D3E">
              <w:rPr>
                <w:rFonts w:ascii="Arial" w:hAnsi="Arial" w:cs="Arial"/>
                <w:sz w:val="22"/>
                <w:szCs w:val="22"/>
              </w:rPr>
              <w:t xml:space="preserve">the application will </w:t>
            </w:r>
            <w:r w:rsidR="001C71EF" w:rsidRPr="00863D3E">
              <w:rPr>
                <w:rFonts w:ascii="Arial" w:hAnsi="Arial" w:cs="Arial"/>
                <w:sz w:val="22"/>
                <w:szCs w:val="22"/>
              </w:rPr>
              <w:t xml:space="preserve">not </w:t>
            </w:r>
            <w:r w:rsidRPr="00863D3E">
              <w:rPr>
                <w:rFonts w:ascii="Arial" w:hAnsi="Arial" w:cs="Arial"/>
                <w:sz w:val="22"/>
                <w:szCs w:val="22"/>
              </w:rPr>
              <w:t xml:space="preserve">have a likely significant effect on </w:t>
            </w:r>
            <w:r w:rsidR="00D55CC5" w:rsidRPr="00863D3E">
              <w:rPr>
                <w:rFonts w:ascii="Arial" w:hAnsi="Arial" w:cs="Arial"/>
                <w:sz w:val="22"/>
                <w:szCs w:val="22"/>
              </w:rPr>
              <w:t>the protected sites.</w:t>
            </w:r>
            <w:r w:rsidR="00D55CC5">
              <w:rPr>
                <w:rFonts w:ascii="Arial" w:hAnsi="Arial" w:cs="Arial"/>
                <w:sz w:val="22"/>
                <w:szCs w:val="22"/>
              </w:rPr>
              <w:t xml:space="preserve">  </w:t>
            </w:r>
            <w:r>
              <w:rPr>
                <w:rFonts w:ascii="Arial" w:hAnsi="Arial" w:cs="Arial"/>
                <w:sz w:val="22"/>
                <w:szCs w:val="22"/>
              </w:rPr>
              <w:t xml:space="preserve"> </w:t>
            </w:r>
          </w:p>
          <w:p w14:paraId="557C51CE" w14:textId="77777777" w:rsidR="009F365D" w:rsidRDefault="009F365D" w:rsidP="00BC7C5B">
            <w:pPr>
              <w:spacing w:line="276" w:lineRule="auto"/>
              <w:rPr>
                <w:rFonts w:ascii="Arial" w:hAnsi="Arial" w:cs="Arial"/>
                <w:sz w:val="22"/>
                <w:szCs w:val="22"/>
              </w:rPr>
            </w:pPr>
          </w:p>
          <w:p w14:paraId="6B1F991F" w14:textId="307D6444" w:rsidR="00DA2ECF" w:rsidRPr="005F35CA" w:rsidRDefault="00F20531" w:rsidP="00BC7C5B">
            <w:pPr>
              <w:spacing w:line="276" w:lineRule="auto"/>
              <w:rPr>
                <w:rFonts w:ascii="Arial" w:hAnsi="Arial" w:cs="Arial"/>
                <w:sz w:val="22"/>
                <w:szCs w:val="22"/>
              </w:rPr>
            </w:pPr>
            <w:r>
              <w:rPr>
                <w:rFonts w:ascii="Arial" w:hAnsi="Arial" w:cs="Arial"/>
                <w:sz w:val="22"/>
                <w:szCs w:val="22"/>
              </w:rPr>
              <w:t>T</w:t>
            </w:r>
            <w:r w:rsidRPr="001758E5">
              <w:rPr>
                <w:rFonts w:ascii="Arial" w:hAnsi="Arial" w:cs="Arial"/>
                <w:sz w:val="22"/>
                <w:szCs w:val="22"/>
              </w:rPr>
              <w:t>his represents the authorit</w:t>
            </w:r>
            <w:r w:rsidR="001C71EF">
              <w:rPr>
                <w:rFonts w:ascii="Arial" w:hAnsi="Arial" w:cs="Arial"/>
                <w:sz w:val="22"/>
                <w:szCs w:val="22"/>
              </w:rPr>
              <w:t>y’s</w:t>
            </w:r>
            <w:r w:rsidRPr="001758E5">
              <w:rPr>
                <w:rFonts w:ascii="Arial" w:hAnsi="Arial" w:cs="Arial"/>
                <w:sz w:val="22"/>
                <w:szCs w:val="22"/>
              </w:rPr>
              <w:t xml:space="preserve"> </w:t>
            </w:r>
            <w:r w:rsidR="00EB38E9">
              <w:rPr>
                <w:rFonts w:ascii="Arial" w:hAnsi="Arial" w:cs="Arial"/>
                <w:sz w:val="22"/>
                <w:szCs w:val="22"/>
              </w:rPr>
              <w:t xml:space="preserve">Appropriate Assessment as Competent Authority in accordance with the requirements </w:t>
            </w:r>
            <w:r w:rsidRPr="001758E5">
              <w:rPr>
                <w:rFonts w:ascii="Arial" w:hAnsi="Arial" w:cs="Arial"/>
                <w:sz w:val="22"/>
                <w:szCs w:val="22"/>
              </w:rPr>
              <w:t>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w:t>
            </w:r>
            <w:r>
              <w:rPr>
                <w:rFonts w:ascii="Arial" w:hAnsi="Arial" w:cs="Arial"/>
                <w:sz w:val="22"/>
                <w:szCs w:val="22"/>
              </w:rPr>
              <w:t xml:space="preserve"> Planning Policy Framework</w:t>
            </w:r>
            <w:r w:rsidR="001C71EF">
              <w:rPr>
                <w:rFonts w:ascii="Arial" w:hAnsi="Arial" w:cs="Arial"/>
                <w:sz w:val="22"/>
                <w:szCs w:val="22"/>
              </w:rPr>
              <w:t xml:space="preserve">.  </w:t>
            </w:r>
          </w:p>
        </w:tc>
      </w:tr>
    </w:tbl>
    <w:p w14:paraId="210F8F80" w14:textId="77777777" w:rsidR="00DA2ECF" w:rsidRDefault="00DA2ECF" w:rsidP="000A6BF4">
      <w:pPr>
        <w:spacing w:line="276" w:lineRule="auto"/>
      </w:pPr>
    </w:p>
    <w:sectPr w:rsidR="00DA2ECF"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BE1"/>
    <w:multiLevelType w:val="hybridMultilevel"/>
    <w:tmpl w:val="673CE716"/>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02F6AC5"/>
    <w:multiLevelType w:val="hybridMultilevel"/>
    <w:tmpl w:val="C584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724754"/>
    <w:multiLevelType w:val="hybridMultilevel"/>
    <w:tmpl w:val="B76C4B88"/>
    <w:lvl w:ilvl="0" w:tplc="A5D8D0B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0386F55"/>
    <w:multiLevelType w:val="hybridMultilevel"/>
    <w:tmpl w:val="E338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4035C"/>
    <w:multiLevelType w:val="hybridMultilevel"/>
    <w:tmpl w:val="6F326F0A"/>
    <w:lvl w:ilvl="0" w:tplc="A0F093DC">
      <w:start w:val="1"/>
      <w:numFmt w:val="lowerLetter"/>
      <w:lvlText w:val="%1)"/>
      <w:lvlJc w:val="left"/>
      <w:pPr>
        <w:ind w:left="720" w:hanging="360"/>
      </w:pPr>
    </w:lvl>
    <w:lvl w:ilvl="1" w:tplc="CAF2610C" w:tentative="1">
      <w:start w:val="1"/>
      <w:numFmt w:val="lowerLetter"/>
      <w:lvlText w:val="%2."/>
      <w:lvlJc w:val="left"/>
      <w:pPr>
        <w:ind w:left="1440" w:hanging="360"/>
      </w:pPr>
    </w:lvl>
    <w:lvl w:ilvl="2" w:tplc="7348233A" w:tentative="1">
      <w:start w:val="1"/>
      <w:numFmt w:val="lowerRoman"/>
      <w:lvlText w:val="%3."/>
      <w:lvlJc w:val="right"/>
      <w:pPr>
        <w:ind w:left="2160" w:hanging="180"/>
      </w:pPr>
    </w:lvl>
    <w:lvl w:ilvl="3" w:tplc="CF6CD8A0" w:tentative="1">
      <w:start w:val="1"/>
      <w:numFmt w:val="decimal"/>
      <w:lvlText w:val="%4."/>
      <w:lvlJc w:val="left"/>
      <w:pPr>
        <w:ind w:left="2880" w:hanging="360"/>
      </w:pPr>
    </w:lvl>
    <w:lvl w:ilvl="4" w:tplc="EABE1C9C" w:tentative="1">
      <w:start w:val="1"/>
      <w:numFmt w:val="lowerLetter"/>
      <w:lvlText w:val="%5."/>
      <w:lvlJc w:val="left"/>
      <w:pPr>
        <w:ind w:left="3600" w:hanging="360"/>
      </w:pPr>
    </w:lvl>
    <w:lvl w:ilvl="5" w:tplc="D1D683EA" w:tentative="1">
      <w:start w:val="1"/>
      <w:numFmt w:val="lowerRoman"/>
      <w:lvlText w:val="%6."/>
      <w:lvlJc w:val="right"/>
      <w:pPr>
        <w:ind w:left="4320" w:hanging="180"/>
      </w:pPr>
    </w:lvl>
    <w:lvl w:ilvl="6" w:tplc="0D4C960A" w:tentative="1">
      <w:start w:val="1"/>
      <w:numFmt w:val="decimal"/>
      <w:lvlText w:val="%7."/>
      <w:lvlJc w:val="left"/>
      <w:pPr>
        <w:ind w:left="5040" w:hanging="360"/>
      </w:pPr>
    </w:lvl>
    <w:lvl w:ilvl="7" w:tplc="9A428348" w:tentative="1">
      <w:start w:val="1"/>
      <w:numFmt w:val="lowerLetter"/>
      <w:lvlText w:val="%8."/>
      <w:lvlJc w:val="left"/>
      <w:pPr>
        <w:ind w:left="5760" w:hanging="360"/>
      </w:pPr>
    </w:lvl>
    <w:lvl w:ilvl="8" w:tplc="CC8ED73C" w:tentative="1">
      <w:start w:val="1"/>
      <w:numFmt w:val="lowerRoman"/>
      <w:lvlText w:val="%9."/>
      <w:lvlJc w:val="right"/>
      <w:pPr>
        <w:ind w:left="6480" w:hanging="180"/>
      </w:pPr>
    </w:lvl>
  </w:abstractNum>
  <w:abstractNum w:abstractNumId="5" w15:restartNumberingAfterBreak="0">
    <w:nsid w:val="61D56499"/>
    <w:multiLevelType w:val="hybridMultilevel"/>
    <w:tmpl w:val="9DDA551E"/>
    <w:lvl w:ilvl="0" w:tplc="124E796E">
      <w:start w:val="1"/>
      <w:numFmt w:val="decimal"/>
      <w:lvlText w:val="4.%1"/>
      <w:lvlJc w:val="left"/>
      <w:pPr>
        <w:ind w:left="720" w:hanging="360"/>
      </w:pPr>
      <w:rPr>
        <w:rFonts w:hint="default"/>
        <w:sz w:val="22"/>
        <w:szCs w:val="22"/>
      </w:rPr>
    </w:lvl>
    <w:lvl w:ilvl="1" w:tplc="04E06BF2" w:tentative="1">
      <w:start w:val="1"/>
      <w:numFmt w:val="lowerLetter"/>
      <w:lvlText w:val="%2."/>
      <w:lvlJc w:val="left"/>
      <w:pPr>
        <w:ind w:left="1440" w:hanging="360"/>
      </w:pPr>
    </w:lvl>
    <w:lvl w:ilvl="2" w:tplc="B0E83BC2">
      <w:start w:val="1"/>
      <w:numFmt w:val="lowerRoman"/>
      <w:lvlText w:val="%3."/>
      <w:lvlJc w:val="right"/>
      <w:pPr>
        <w:ind w:left="2160" w:hanging="180"/>
      </w:pPr>
    </w:lvl>
    <w:lvl w:ilvl="3" w:tplc="E1C03170" w:tentative="1">
      <w:start w:val="1"/>
      <w:numFmt w:val="decimal"/>
      <w:lvlText w:val="%4."/>
      <w:lvlJc w:val="left"/>
      <w:pPr>
        <w:ind w:left="2880" w:hanging="360"/>
      </w:pPr>
    </w:lvl>
    <w:lvl w:ilvl="4" w:tplc="16C61E78" w:tentative="1">
      <w:start w:val="1"/>
      <w:numFmt w:val="lowerLetter"/>
      <w:lvlText w:val="%5."/>
      <w:lvlJc w:val="left"/>
      <w:pPr>
        <w:ind w:left="3600" w:hanging="360"/>
      </w:pPr>
    </w:lvl>
    <w:lvl w:ilvl="5" w:tplc="4620990E" w:tentative="1">
      <w:start w:val="1"/>
      <w:numFmt w:val="lowerRoman"/>
      <w:lvlText w:val="%6."/>
      <w:lvlJc w:val="right"/>
      <w:pPr>
        <w:ind w:left="4320" w:hanging="180"/>
      </w:pPr>
    </w:lvl>
    <w:lvl w:ilvl="6" w:tplc="4B36BEF8" w:tentative="1">
      <w:start w:val="1"/>
      <w:numFmt w:val="decimal"/>
      <w:lvlText w:val="%7."/>
      <w:lvlJc w:val="left"/>
      <w:pPr>
        <w:ind w:left="5040" w:hanging="360"/>
      </w:pPr>
    </w:lvl>
    <w:lvl w:ilvl="7" w:tplc="A232F0EE" w:tentative="1">
      <w:start w:val="1"/>
      <w:numFmt w:val="lowerLetter"/>
      <w:lvlText w:val="%8."/>
      <w:lvlJc w:val="left"/>
      <w:pPr>
        <w:ind w:left="5760" w:hanging="360"/>
      </w:pPr>
    </w:lvl>
    <w:lvl w:ilvl="8" w:tplc="839438AC" w:tentative="1">
      <w:start w:val="1"/>
      <w:numFmt w:val="lowerRoman"/>
      <w:lvlText w:val="%9."/>
      <w:lvlJc w:val="right"/>
      <w:pPr>
        <w:ind w:left="6480" w:hanging="180"/>
      </w:pPr>
    </w:lvl>
  </w:abstractNum>
  <w:abstractNum w:abstractNumId="6" w15:restartNumberingAfterBreak="0">
    <w:nsid w:val="73B254BA"/>
    <w:multiLevelType w:val="hybridMultilevel"/>
    <w:tmpl w:val="0A0A65FA"/>
    <w:lvl w:ilvl="0" w:tplc="157A4622">
      <w:start w:val="13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927E8656">
      <w:start w:val="1"/>
      <w:numFmt w:val="bullet"/>
      <w:lvlText w:val=""/>
      <w:lvlJc w:val="left"/>
      <w:pPr>
        <w:ind w:left="720" w:hanging="360"/>
      </w:pPr>
      <w:rPr>
        <w:rFonts w:ascii="Wingdings" w:hAnsi="Wingdings" w:hint="default"/>
        <w:color w:val="000000"/>
      </w:rPr>
    </w:lvl>
    <w:lvl w:ilvl="1" w:tplc="32069DAC" w:tentative="1">
      <w:start w:val="1"/>
      <w:numFmt w:val="bullet"/>
      <w:lvlText w:val="o"/>
      <w:lvlJc w:val="left"/>
      <w:pPr>
        <w:ind w:left="1440" w:hanging="360"/>
      </w:pPr>
      <w:rPr>
        <w:rFonts w:ascii="Courier New" w:hAnsi="Courier New" w:hint="default"/>
      </w:rPr>
    </w:lvl>
    <w:lvl w:ilvl="2" w:tplc="69C4EA4C" w:tentative="1">
      <w:start w:val="1"/>
      <w:numFmt w:val="bullet"/>
      <w:lvlText w:val=""/>
      <w:lvlJc w:val="left"/>
      <w:pPr>
        <w:ind w:left="2160" w:hanging="360"/>
      </w:pPr>
      <w:rPr>
        <w:rFonts w:ascii="Wingdings" w:hAnsi="Wingdings" w:hint="default"/>
      </w:rPr>
    </w:lvl>
    <w:lvl w:ilvl="3" w:tplc="E6248158" w:tentative="1">
      <w:start w:val="1"/>
      <w:numFmt w:val="bullet"/>
      <w:lvlText w:val=""/>
      <w:lvlJc w:val="left"/>
      <w:pPr>
        <w:ind w:left="2880" w:hanging="360"/>
      </w:pPr>
      <w:rPr>
        <w:rFonts w:ascii="Symbol" w:hAnsi="Symbol" w:hint="default"/>
      </w:rPr>
    </w:lvl>
    <w:lvl w:ilvl="4" w:tplc="7898E604" w:tentative="1">
      <w:start w:val="1"/>
      <w:numFmt w:val="bullet"/>
      <w:lvlText w:val="o"/>
      <w:lvlJc w:val="left"/>
      <w:pPr>
        <w:ind w:left="3600" w:hanging="360"/>
      </w:pPr>
      <w:rPr>
        <w:rFonts w:ascii="Courier New" w:hAnsi="Courier New" w:hint="default"/>
      </w:rPr>
    </w:lvl>
    <w:lvl w:ilvl="5" w:tplc="AA8C28AE" w:tentative="1">
      <w:start w:val="1"/>
      <w:numFmt w:val="bullet"/>
      <w:lvlText w:val=""/>
      <w:lvlJc w:val="left"/>
      <w:pPr>
        <w:ind w:left="4320" w:hanging="360"/>
      </w:pPr>
      <w:rPr>
        <w:rFonts w:ascii="Wingdings" w:hAnsi="Wingdings" w:hint="default"/>
      </w:rPr>
    </w:lvl>
    <w:lvl w:ilvl="6" w:tplc="F56E07F4" w:tentative="1">
      <w:start w:val="1"/>
      <w:numFmt w:val="bullet"/>
      <w:lvlText w:val=""/>
      <w:lvlJc w:val="left"/>
      <w:pPr>
        <w:ind w:left="5040" w:hanging="360"/>
      </w:pPr>
      <w:rPr>
        <w:rFonts w:ascii="Symbol" w:hAnsi="Symbol" w:hint="default"/>
      </w:rPr>
    </w:lvl>
    <w:lvl w:ilvl="7" w:tplc="68E6966A" w:tentative="1">
      <w:start w:val="1"/>
      <w:numFmt w:val="bullet"/>
      <w:lvlText w:val="o"/>
      <w:lvlJc w:val="left"/>
      <w:pPr>
        <w:ind w:left="5760" w:hanging="360"/>
      </w:pPr>
      <w:rPr>
        <w:rFonts w:ascii="Courier New" w:hAnsi="Courier New" w:hint="default"/>
      </w:rPr>
    </w:lvl>
    <w:lvl w:ilvl="8" w:tplc="0BA8AF56" w:tentative="1">
      <w:start w:val="1"/>
      <w:numFmt w:val="bullet"/>
      <w:lvlText w:val=""/>
      <w:lvlJc w:val="left"/>
      <w:pPr>
        <w:ind w:left="6480" w:hanging="360"/>
      </w:pPr>
      <w:rPr>
        <w:rFonts w:ascii="Wingdings" w:hAnsi="Wingdings" w:hint="default"/>
      </w:rPr>
    </w:lvl>
  </w:abstractNum>
  <w:num w:numId="1" w16cid:durableId="532814661">
    <w:abstractNumId w:val="7"/>
  </w:num>
  <w:num w:numId="2" w16cid:durableId="611131189">
    <w:abstractNumId w:val="5"/>
  </w:num>
  <w:num w:numId="3" w16cid:durableId="82800401">
    <w:abstractNumId w:val="4"/>
  </w:num>
  <w:num w:numId="4" w16cid:durableId="90200455">
    <w:abstractNumId w:val="2"/>
  </w:num>
  <w:num w:numId="5" w16cid:durableId="1538005361">
    <w:abstractNumId w:val="3"/>
  </w:num>
  <w:num w:numId="6" w16cid:durableId="868497119">
    <w:abstractNumId w:val="0"/>
  </w:num>
  <w:num w:numId="7" w16cid:durableId="867257249">
    <w:abstractNumId w:val="1"/>
  </w:num>
  <w:num w:numId="8" w16cid:durableId="1506283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57"/>
    <w:rsid w:val="00010D2B"/>
    <w:rsid w:val="000276FC"/>
    <w:rsid w:val="00044A42"/>
    <w:rsid w:val="00051DDF"/>
    <w:rsid w:val="000760D8"/>
    <w:rsid w:val="00076F55"/>
    <w:rsid w:val="00084020"/>
    <w:rsid w:val="00090526"/>
    <w:rsid w:val="000A51EB"/>
    <w:rsid w:val="000B010C"/>
    <w:rsid w:val="000C4E07"/>
    <w:rsid w:val="000C594E"/>
    <w:rsid w:val="000C6390"/>
    <w:rsid w:val="000C673D"/>
    <w:rsid w:val="000D23CD"/>
    <w:rsid w:val="000E2537"/>
    <w:rsid w:val="000E56B8"/>
    <w:rsid w:val="000F182F"/>
    <w:rsid w:val="00103771"/>
    <w:rsid w:val="00117149"/>
    <w:rsid w:val="0012216C"/>
    <w:rsid w:val="00131F32"/>
    <w:rsid w:val="00141E84"/>
    <w:rsid w:val="001703AC"/>
    <w:rsid w:val="001714CD"/>
    <w:rsid w:val="00183712"/>
    <w:rsid w:val="00192E55"/>
    <w:rsid w:val="00193157"/>
    <w:rsid w:val="001C1E62"/>
    <w:rsid w:val="001C2399"/>
    <w:rsid w:val="001C3B8F"/>
    <w:rsid w:val="001C71EF"/>
    <w:rsid w:val="001D5637"/>
    <w:rsid w:val="001E0D06"/>
    <w:rsid w:val="00202897"/>
    <w:rsid w:val="00205FDC"/>
    <w:rsid w:val="00206DC0"/>
    <w:rsid w:val="00215302"/>
    <w:rsid w:val="00217AE7"/>
    <w:rsid w:val="002360D1"/>
    <w:rsid w:val="00240FC9"/>
    <w:rsid w:val="00247961"/>
    <w:rsid w:val="00251E3D"/>
    <w:rsid w:val="00256DFA"/>
    <w:rsid w:val="00262EBF"/>
    <w:rsid w:val="00276809"/>
    <w:rsid w:val="002875AD"/>
    <w:rsid w:val="00290500"/>
    <w:rsid w:val="00291B11"/>
    <w:rsid w:val="00292FCB"/>
    <w:rsid w:val="00293720"/>
    <w:rsid w:val="002A066B"/>
    <w:rsid w:val="002B16F5"/>
    <w:rsid w:val="002B38DF"/>
    <w:rsid w:val="002B4B7C"/>
    <w:rsid w:val="002B6A04"/>
    <w:rsid w:val="002D285E"/>
    <w:rsid w:val="002E3794"/>
    <w:rsid w:val="002E4B20"/>
    <w:rsid w:val="00301E7B"/>
    <w:rsid w:val="00312C41"/>
    <w:rsid w:val="00317758"/>
    <w:rsid w:val="00317F8A"/>
    <w:rsid w:val="00330BF3"/>
    <w:rsid w:val="00332EBC"/>
    <w:rsid w:val="003379DD"/>
    <w:rsid w:val="003431C2"/>
    <w:rsid w:val="003439F3"/>
    <w:rsid w:val="00346296"/>
    <w:rsid w:val="00347540"/>
    <w:rsid w:val="00350D48"/>
    <w:rsid w:val="00353769"/>
    <w:rsid w:val="0035664C"/>
    <w:rsid w:val="003614E0"/>
    <w:rsid w:val="00363BAC"/>
    <w:rsid w:val="003761E5"/>
    <w:rsid w:val="00393175"/>
    <w:rsid w:val="003933F7"/>
    <w:rsid w:val="003B2091"/>
    <w:rsid w:val="003B69FA"/>
    <w:rsid w:val="003C3131"/>
    <w:rsid w:val="003C67E9"/>
    <w:rsid w:val="003F4430"/>
    <w:rsid w:val="00407D29"/>
    <w:rsid w:val="00412429"/>
    <w:rsid w:val="004124B1"/>
    <w:rsid w:val="00422CA1"/>
    <w:rsid w:val="004430F9"/>
    <w:rsid w:val="004619BF"/>
    <w:rsid w:val="00470753"/>
    <w:rsid w:val="00471F39"/>
    <w:rsid w:val="004737BC"/>
    <w:rsid w:val="00476CA6"/>
    <w:rsid w:val="00482B14"/>
    <w:rsid w:val="004B028A"/>
    <w:rsid w:val="004B51C0"/>
    <w:rsid w:val="004C0993"/>
    <w:rsid w:val="004C1707"/>
    <w:rsid w:val="004F5163"/>
    <w:rsid w:val="005056A8"/>
    <w:rsid w:val="00507D74"/>
    <w:rsid w:val="0053375D"/>
    <w:rsid w:val="0056045A"/>
    <w:rsid w:val="0056047C"/>
    <w:rsid w:val="00573FE8"/>
    <w:rsid w:val="005837CD"/>
    <w:rsid w:val="005843B4"/>
    <w:rsid w:val="0058687E"/>
    <w:rsid w:val="00597FBE"/>
    <w:rsid w:val="005A2CF8"/>
    <w:rsid w:val="005A33A4"/>
    <w:rsid w:val="005A746C"/>
    <w:rsid w:val="005B784B"/>
    <w:rsid w:val="005C44C5"/>
    <w:rsid w:val="005C560A"/>
    <w:rsid w:val="005C5E6C"/>
    <w:rsid w:val="005C6CBD"/>
    <w:rsid w:val="005E60E3"/>
    <w:rsid w:val="00613567"/>
    <w:rsid w:val="0062250C"/>
    <w:rsid w:val="00625A5F"/>
    <w:rsid w:val="00632D53"/>
    <w:rsid w:val="006344BB"/>
    <w:rsid w:val="0063784E"/>
    <w:rsid w:val="00641C69"/>
    <w:rsid w:val="00653C16"/>
    <w:rsid w:val="006640FF"/>
    <w:rsid w:val="00673184"/>
    <w:rsid w:val="006744CA"/>
    <w:rsid w:val="00675CA6"/>
    <w:rsid w:val="006775AB"/>
    <w:rsid w:val="0068262B"/>
    <w:rsid w:val="0068699A"/>
    <w:rsid w:val="00690371"/>
    <w:rsid w:val="00697926"/>
    <w:rsid w:val="006B7A42"/>
    <w:rsid w:val="006C1A9B"/>
    <w:rsid w:val="006C361E"/>
    <w:rsid w:val="006C7417"/>
    <w:rsid w:val="006D14C9"/>
    <w:rsid w:val="006E39B8"/>
    <w:rsid w:val="0070698A"/>
    <w:rsid w:val="00706B69"/>
    <w:rsid w:val="00712850"/>
    <w:rsid w:val="007231F4"/>
    <w:rsid w:val="00727761"/>
    <w:rsid w:val="00734307"/>
    <w:rsid w:val="007561F8"/>
    <w:rsid w:val="007708DC"/>
    <w:rsid w:val="00774367"/>
    <w:rsid w:val="00785751"/>
    <w:rsid w:val="007A2565"/>
    <w:rsid w:val="007A6978"/>
    <w:rsid w:val="007B2627"/>
    <w:rsid w:val="007C0A2C"/>
    <w:rsid w:val="007C6376"/>
    <w:rsid w:val="007C63AB"/>
    <w:rsid w:val="007E2C68"/>
    <w:rsid w:val="007E67A4"/>
    <w:rsid w:val="00815E2A"/>
    <w:rsid w:val="00832FDA"/>
    <w:rsid w:val="008372D0"/>
    <w:rsid w:val="00841C7D"/>
    <w:rsid w:val="008446C4"/>
    <w:rsid w:val="008520BE"/>
    <w:rsid w:val="008604E8"/>
    <w:rsid w:val="00863D3E"/>
    <w:rsid w:val="00864C6C"/>
    <w:rsid w:val="008731B9"/>
    <w:rsid w:val="0087589E"/>
    <w:rsid w:val="00876A58"/>
    <w:rsid w:val="00885EA3"/>
    <w:rsid w:val="00886865"/>
    <w:rsid w:val="008B0D92"/>
    <w:rsid w:val="008C26AB"/>
    <w:rsid w:val="008D4A93"/>
    <w:rsid w:val="008E3C8C"/>
    <w:rsid w:val="008F11D0"/>
    <w:rsid w:val="008F1DAC"/>
    <w:rsid w:val="008F54CD"/>
    <w:rsid w:val="009077D1"/>
    <w:rsid w:val="00911098"/>
    <w:rsid w:val="00921E75"/>
    <w:rsid w:val="00932F59"/>
    <w:rsid w:val="009378BC"/>
    <w:rsid w:val="0095673F"/>
    <w:rsid w:val="00966C1E"/>
    <w:rsid w:val="00970D09"/>
    <w:rsid w:val="0097426A"/>
    <w:rsid w:val="0098719B"/>
    <w:rsid w:val="00990146"/>
    <w:rsid w:val="00990DBF"/>
    <w:rsid w:val="009B4D22"/>
    <w:rsid w:val="009C4017"/>
    <w:rsid w:val="009C48E7"/>
    <w:rsid w:val="009C5160"/>
    <w:rsid w:val="009D4F19"/>
    <w:rsid w:val="009E25B5"/>
    <w:rsid w:val="009E28AB"/>
    <w:rsid w:val="009F365D"/>
    <w:rsid w:val="00A01832"/>
    <w:rsid w:val="00A02EE0"/>
    <w:rsid w:val="00A03BEE"/>
    <w:rsid w:val="00A103DA"/>
    <w:rsid w:val="00A21DF1"/>
    <w:rsid w:val="00A2403F"/>
    <w:rsid w:val="00A243A9"/>
    <w:rsid w:val="00A50B47"/>
    <w:rsid w:val="00A67128"/>
    <w:rsid w:val="00A700AB"/>
    <w:rsid w:val="00A878DB"/>
    <w:rsid w:val="00A90D5B"/>
    <w:rsid w:val="00AA68CE"/>
    <w:rsid w:val="00AB52A9"/>
    <w:rsid w:val="00AC2EDE"/>
    <w:rsid w:val="00AC3FBA"/>
    <w:rsid w:val="00AD30AE"/>
    <w:rsid w:val="00AE1819"/>
    <w:rsid w:val="00AE4523"/>
    <w:rsid w:val="00AF3CF4"/>
    <w:rsid w:val="00AF6C4A"/>
    <w:rsid w:val="00B027F2"/>
    <w:rsid w:val="00B05760"/>
    <w:rsid w:val="00B07759"/>
    <w:rsid w:val="00B109C3"/>
    <w:rsid w:val="00B23B75"/>
    <w:rsid w:val="00B431CD"/>
    <w:rsid w:val="00B551C8"/>
    <w:rsid w:val="00B56AB9"/>
    <w:rsid w:val="00B83CC8"/>
    <w:rsid w:val="00B859CC"/>
    <w:rsid w:val="00B86C31"/>
    <w:rsid w:val="00B9046E"/>
    <w:rsid w:val="00B94215"/>
    <w:rsid w:val="00B97C9C"/>
    <w:rsid w:val="00BA11AD"/>
    <w:rsid w:val="00BA141F"/>
    <w:rsid w:val="00BC15F0"/>
    <w:rsid w:val="00BC281A"/>
    <w:rsid w:val="00BC4E7D"/>
    <w:rsid w:val="00BC4F07"/>
    <w:rsid w:val="00BC60E6"/>
    <w:rsid w:val="00BC6B27"/>
    <w:rsid w:val="00BE12D7"/>
    <w:rsid w:val="00BE4A76"/>
    <w:rsid w:val="00BF48E0"/>
    <w:rsid w:val="00BF4A62"/>
    <w:rsid w:val="00C044B1"/>
    <w:rsid w:val="00C077B2"/>
    <w:rsid w:val="00C12F27"/>
    <w:rsid w:val="00C141BE"/>
    <w:rsid w:val="00C26524"/>
    <w:rsid w:val="00C455E9"/>
    <w:rsid w:val="00C4586E"/>
    <w:rsid w:val="00C52490"/>
    <w:rsid w:val="00C5612B"/>
    <w:rsid w:val="00C6212D"/>
    <w:rsid w:val="00C66075"/>
    <w:rsid w:val="00C739B9"/>
    <w:rsid w:val="00C7546D"/>
    <w:rsid w:val="00C82191"/>
    <w:rsid w:val="00C830CE"/>
    <w:rsid w:val="00C94650"/>
    <w:rsid w:val="00C94F6A"/>
    <w:rsid w:val="00CA5793"/>
    <w:rsid w:val="00CC19E5"/>
    <w:rsid w:val="00CE19DC"/>
    <w:rsid w:val="00CE21C3"/>
    <w:rsid w:val="00CE6E6B"/>
    <w:rsid w:val="00CF18FD"/>
    <w:rsid w:val="00CF6DAA"/>
    <w:rsid w:val="00D003AF"/>
    <w:rsid w:val="00D12389"/>
    <w:rsid w:val="00D13207"/>
    <w:rsid w:val="00D1665E"/>
    <w:rsid w:val="00D2747D"/>
    <w:rsid w:val="00D3386F"/>
    <w:rsid w:val="00D35D59"/>
    <w:rsid w:val="00D45E03"/>
    <w:rsid w:val="00D52794"/>
    <w:rsid w:val="00D53AF0"/>
    <w:rsid w:val="00D55CC5"/>
    <w:rsid w:val="00D56276"/>
    <w:rsid w:val="00D6081C"/>
    <w:rsid w:val="00D70692"/>
    <w:rsid w:val="00D70BCB"/>
    <w:rsid w:val="00D77C5C"/>
    <w:rsid w:val="00D77E8D"/>
    <w:rsid w:val="00D975BD"/>
    <w:rsid w:val="00DA2ECF"/>
    <w:rsid w:val="00DA64D5"/>
    <w:rsid w:val="00DA7845"/>
    <w:rsid w:val="00DB4E0D"/>
    <w:rsid w:val="00DD1D69"/>
    <w:rsid w:val="00DD401E"/>
    <w:rsid w:val="00DD71E5"/>
    <w:rsid w:val="00DE0A43"/>
    <w:rsid w:val="00DE2443"/>
    <w:rsid w:val="00DE27A7"/>
    <w:rsid w:val="00DE36B4"/>
    <w:rsid w:val="00E1338B"/>
    <w:rsid w:val="00E152C9"/>
    <w:rsid w:val="00E33957"/>
    <w:rsid w:val="00E457B3"/>
    <w:rsid w:val="00E47B02"/>
    <w:rsid w:val="00E532F0"/>
    <w:rsid w:val="00E568C9"/>
    <w:rsid w:val="00E64C65"/>
    <w:rsid w:val="00E72D4D"/>
    <w:rsid w:val="00E74B12"/>
    <w:rsid w:val="00E808A8"/>
    <w:rsid w:val="00E83156"/>
    <w:rsid w:val="00E83404"/>
    <w:rsid w:val="00E945B1"/>
    <w:rsid w:val="00EA0957"/>
    <w:rsid w:val="00EA3141"/>
    <w:rsid w:val="00EA713A"/>
    <w:rsid w:val="00EB0B68"/>
    <w:rsid w:val="00EB1668"/>
    <w:rsid w:val="00EB2C2E"/>
    <w:rsid w:val="00EB38E9"/>
    <w:rsid w:val="00EB5749"/>
    <w:rsid w:val="00ED67C1"/>
    <w:rsid w:val="00EE3631"/>
    <w:rsid w:val="00EE478B"/>
    <w:rsid w:val="00EF6DE4"/>
    <w:rsid w:val="00F1455D"/>
    <w:rsid w:val="00F16E0A"/>
    <w:rsid w:val="00F20531"/>
    <w:rsid w:val="00F24591"/>
    <w:rsid w:val="00F2712E"/>
    <w:rsid w:val="00F34E57"/>
    <w:rsid w:val="00F41519"/>
    <w:rsid w:val="00F62F90"/>
    <w:rsid w:val="00F663FC"/>
    <w:rsid w:val="00F77C3A"/>
    <w:rsid w:val="00F8234B"/>
    <w:rsid w:val="00F83FEE"/>
    <w:rsid w:val="00FA61CA"/>
    <w:rsid w:val="00FE1338"/>
    <w:rsid w:val="00FF727C"/>
    <w:rsid w:val="00FF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7474657"/>
  <w15:docId w15:val="{0B98DF42-DB89-44F6-BA38-003DB1B53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paragraph" w:styleId="Heading1">
    <w:name w:val="heading 1"/>
    <w:basedOn w:val="Normal"/>
    <w:next w:val="Normal"/>
    <w:link w:val="Heading1Char"/>
    <w:qFormat/>
    <w:locked/>
    <w:rsid w:val="008B0D92"/>
    <w:pPr>
      <w:keepNext/>
      <w:spacing w:line="276" w:lineRule="auto"/>
      <w:outlineLvl w:val="0"/>
    </w:pPr>
    <w:rPr>
      <w:rFonts w:ascii="Arial" w:hAnsi="Arial" w:cs="Arial"/>
      <w:sz w:val="22"/>
      <w:szCs w:val="22"/>
      <w:u w:val="single"/>
    </w:rPr>
  </w:style>
  <w:style w:type="paragraph" w:styleId="Heading2">
    <w:name w:val="heading 2"/>
    <w:basedOn w:val="Normal"/>
    <w:next w:val="Normal"/>
    <w:link w:val="Heading2Char"/>
    <w:unhideWhenUsed/>
    <w:qFormat/>
    <w:locked/>
    <w:rsid w:val="00E808A8"/>
    <w:pPr>
      <w:keepNext/>
      <w:spacing w:line="276" w:lineRule="auto"/>
      <w:jc w:val="both"/>
      <w:outlineLvl w:val="1"/>
    </w:pPr>
    <w:rPr>
      <w:rFonts w:ascii="Arial" w:hAnsi="Arial" w:cs="Arial"/>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character" w:styleId="FollowedHyperlink">
    <w:name w:val="FollowedHyperlink"/>
    <w:basedOn w:val="DefaultParagraphFont"/>
    <w:uiPriority w:val="99"/>
    <w:semiHidden/>
    <w:unhideWhenUsed/>
    <w:rsid w:val="00DD1D69"/>
    <w:rPr>
      <w:color w:val="954F72" w:themeColor="followedHyperlink"/>
      <w:u w:val="single"/>
    </w:rPr>
  </w:style>
  <w:style w:type="character" w:customStyle="1" w:styleId="Heading1Char">
    <w:name w:val="Heading 1 Char"/>
    <w:basedOn w:val="DefaultParagraphFont"/>
    <w:link w:val="Heading1"/>
    <w:rsid w:val="008B0D92"/>
    <w:rPr>
      <w:rFonts w:ascii="Arial" w:hAnsi="Arial" w:cs="Arial"/>
      <w:sz w:val="22"/>
      <w:szCs w:val="22"/>
      <w:u w:val="single"/>
    </w:rPr>
  </w:style>
  <w:style w:type="paragraph" w:styleId="BodyText">
    <w:name w:val="Body Text"/>
    <w:basedOn w:val="Normal"/>
    <w:link w:val="BodyTextChar"/>
    <w:uiPriority w:val="99"/>
    <w:unhideWhenUsed/>
    <w:rsid w:val="00E808A8"/>
    <w:pPr>
      <w:spacing w:line="276" w:lineRule="auto"/>
    </w:pPr>
    <w:rPr>
      <w:rFonts w:ascii="Arial" w:hAnsi="Arial" w:cs="Arial"/>
      <w:sz w:val="22"/>
      <w:szCs w:val="22"/>
    </w:rPr>
  </w:style>
  <w:style w:type="character" w:customStyle="1" w:styleId="BodyTextChar">
    <w:name w:val="Body Text Char"/>
    <w:basedOn w:val="DefaultParagraphFont"/>
    <w:link w:val="BodyText"/>
    <w:uiPriority w:val="99"/>
    <w:rsid w:val="00E808A8"/>
    <w:rPr>
      <w:rFonts w:ascii="Arial" w:hAnsi="Arial" w:cs="Arial"/>
      <w:sz w:val="22"/>
      <w:szCs w:val="22"/>
    </w:rPr>
  </w:style>
  <w:style w:type="character" w:customStyle="1" w:styleId="Heading2Char">
    <w:name w:val="Heading 2 Char"/>
    <w:basedOn w:val="DefaultParagraphFont"/>
    <w:link w:val="Heading2"/>
    <w:rsid w:val="00E808A8"/>
    <w:rPr>
      <w:rFonts w:ascii="Arial" w:hAnsi="Arial" w:cs="Arial"/>
      <w:sz w:val="22"/>
      <w:szCs w:val="22"/>
      <w:u w:val="single"/>
    </w:rPr>
  </w:style>
  <w:style w:type="paragraph" w:styleId="BodyText2">
    <w:name w:val="Body Text 2"/>
    <w:basedOn w:val="Normal"/>
    <w:link w:val="BodyText2Char"/>
    <w:uiPriority w:val="99"/>
    <w:unhideWhenUsed/>
    <w:rsid w:val="00F2712E"/>
    <w:pPr>
      <w:spacing w:line="276" w:lineRule="auto"/>
      <w:jc w:val="both"/>
    </w:pPr>
    <w:rPr>
      <w:rFonts w:ascii="Arial" w:hAnsi="Arial" w:cs="Arial"/>
      <w:sz w:val="22"/>
      <w:szCs w:val="22"/>
    </w:rPr>
  </w:style>
  <w:style w:type="character" w:customStyle="1" w:styleId="BodyText2Char">
    <w:name w:val="Body Text 2 Char"/>
    <w:basedOn w:val="DefaultParagraphFont"/>
    <w:link w:val="BodyText2"/>
    <w:uiPriority w:val="99"/>
    <w:rsid w:val="00F2712E"/>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722">
      <w:bodyDiv w:val="1"/>
      <w:marLeft w:val="0"/>
      <w:marRight w:val="0"/>
      <w:marTop w:val="0"/>
      <w:marBottom w:val="0"/>
      <w:divBdr>
        <w:top w:val="none" w:sz="0" w:space="0" w:color="auto"/>
        <w:left w:val="none" w:sz="0" w:space="0" w:color="auto"/>
        <w:bottom w:val="none" w:sz="0" w:space="0" w:color="auto"/>
        <w:right w:val="none" w:sz="0" w:space="0" w:color="auto"/>
      </w:divBdr>
    </w:div>
    <w:div w:id="3721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stleigh.gov.uk/planning-and-building/nutrient-offset-schem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6" ma:contentTypeDescription="Create a new document." ma:contentTypeScope="" ma:versionID="befbb30d32b6f743859e651079eac0bc">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5e9dcfa2fde652f6da2422f6bc61b9cb"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fb682a-dd2a-434e-b1c0-26901c6e3e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A6088-4AC6-45DD-A84B-67797E1B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b682a-dd2a-434e-b1c0-26901c6e3ea7"/>
    <ds:schemaRef ds:uri="d644cbf3-b799-4cba-9f01-d9ee5dc86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5F214E-ACF7-43AE-A2A4-B8E73FB7BF91}">
  <ds:schemaRefs>
    <ds:schemaRef ds:uri="http://schemas.microsoft.com/office/2006/metadata/properties"/>
    <ds:schemaRef ds:uri="http://schemas.microsoft.com/office/infopath/2007/PartnerControls"/>
    <ds:schemaRef ds:uri="61fb682a-dd2a-434e-b1c0-26901c6e3ea7"/>
  </ds:schemaRefs>
</ds:datastoreItem>
</file>

<file path=customXml/itemProps3.xml><?xml version="1.0" encoding="utf-8"?>
<ds:datastoreItem xmlns:ds="http://schemas.openxmlformats.org/officeDocument/2006/customXml" ds:itemID="{323B61BC-7F17-4E2B-AFC8-4511CBC279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1494</Words>
  <Characters>8598</Characters>
  <Application>Microsoft Office Word</Application>
  <DocSecurity>0</DocSecurity>
  <Lines>179</Lines>
  <Paragraphs>63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23</cp:revision>
  <cp:lastPrinted>2018-06-13T11:32:00Z</cp:lastPrinted>
  <dcterms:created xsi:type="dcterms:W3CDTF">2026-01-06T15:30:00Z</dcterms:created>
  <dcterms:modified xsi:type="dcterms:W3CDTF">2026-01-06T15:46:00Z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0x01010013A24C4ACA4BD64F94D553868544A808</vt:lpwstr>
  </property>
</Properties>
</file>